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56" w:rsidRDefault="00773556" w:rsidP="00773556">
      <w:pPr>
        <w:pStyle w:val="Heading2"/>
        <w:rPr>
          <w:lang w:val="en-GB"/>
        </w:rPr>
      </w:pPr>
      <w:bookmarkStart w:id="0" w:name="_Toc386631742"/>
      <w:r>
        <w:rPr>
          <w:lang w:val="en-GB"/>
        </w:rPr>
        <w:t>3.7 Russia (endogenous)</w:t>
      </w:r>
      <w:bookmarkEnd w:id="0"/>
    </w:p>
    <w:p w:rsidR="00773556" w:rsidRDefault="00773556" w:rsidP="00773556">
      <w:pPr>
        <w:jc w:val="both"/>
        <w:rPr>
          <w:rFonts w:ascii="Times New Roman" w:hAnsi="Times New Roman" w:cs="Times New Roman"/>
          <w:lang w:val="en-GB"/>
        </w:rPr>
      </w:pPr>
      <w:r>
        <w:rPr>
          <w:rFonts w:ascii="Times New Roman" w:hAnsi="Times New Roman" w:cs="Times New Roman"/>
          <w:lang w:val="en-GB"/>
        </w:rPr>
        <w:br/>
      </w:r>
      <w:r w:rsidRPr="00085FA6">
        <w:rPr>
          <w:rFonts w:ascii="Times New Roman" w:hAnsi="Times New Roman" w:cs="Times New Roman"/>
          <w:lang w:val="en-GB"/>
        </w:rPr>
        <w:t xml:space="preserve">In an extension of the model Russia </w:t>
      </w:r>
      <w:r>
        <w:rPr>
          <w:rFonts w:ascii="Times New Roman" w:hAnsi="Times New Roman" w:cs="Times New Roman"/>
          <w:lang w:val="en-GB"/>
        </w:rPr>
        <w:t>has been included as a model country. To allow a more detailed modelling</w:t>
      </w:r>
      <w:r w:rsidRPr="00085FA6">
        <w:rPr>
          <w:rFonts w:ascii="Times New Roman" w:hAnsi="Times New Roman" w:cs="Times New Roman"/>
          <w:lang w:val="en-GB"/>
        </w:rPr>
        <w:t>, Russia</w:t>
      </w:r>
      <w:r>
        <w:rPr>
          <w:rFonts w:ascii="Times New Roman" w:hAnsi="Times New Roman" w:cs="Times New Roman"/>
          <w:lang w:val="en-GB"/>
        </w:rPr>
        <w:t xml:space="preserve"> (RU) consists of three regions;</w:t>
      </w:r>
      <w:r w:rsidRPr="00085FA6">
        <w:rPr>
          <w:rFonts w:ascii="Times New Roman" w:hAnsi="Times New Roman" w:cs="Times New Roman"/>
          <w:lang w:val="en-GB"/>
        </w:rPr>
        <w:t xml:space="preserve"> RU1, RU2 and RU3</w:t>
      </w:r>
      <w:r>
        <w:rPr>
          <w:rFonts w:ascii="Times New Roman" w:hAnsi="Times New Roman" w:cs="Times New Roman"/>
          <w:lang w:val="en-GB"/>
        </w:rPr>
        <w:t xml:space="preserve">, which are treated as three separate countries in the model. This captures the complexity of the Russian energy market better than if it was treated as one country. </w:t>
      </w:r>
    </w:p>
    <w:p w:rsidR="00773556" w:rsidRDefault="00773556" w:rsidP="00773556">
      <w:pPr>
        <w:jc w:val="both"/>
        <w:rPr>
          <w:rFonts w:ascii="Times New Roman" w:hAnsi="Times New Roman" w:cs="Times New Roman"/>
          <w:lang w:val="en-GB"/>
        </w:rPr>
      </w:pPr>
      <w:r>
        <w:rPr>
          <w:rFonts w:ascii="Times New Roman" w:hAnsi="Times New Roman" w:cs="Times New Roman"/>
          <w:lang w:val="en-GB"/>
        </w:rPr>
        <w:t>Russia consists of 83 federal subjects or regions. In 2000 these were grouped into seven official federal districts following a presidential decree.</w:t>
      </w:r>
      <w:r>
        <w:rPr>
          <w:rStyle w:val="FootnoteReference"/>
          <w:rFonts w:ascii="Times New Roman" w:hAnsi="Times New Roman" w:cs="Times New Roman"/>
          <w:lang w:val="en-GB"/>
        </w:rPr>
        <w:footnoteReference w:id="1"/>
      </w:r>
      <w:r>
        <w:rPr>
          <w:rFonts w:ascii="Times New Roman" w:hAnsi="Times New Roman" w:cs="Times New Roman"/>
          <w:lang w:val="en-GB"/>
        </w:rPr>
        <w:t xml:space="preserve"> A lot of the official Russian statistical data is presented on a federal district level. In the model the three countries RU1, RU2 and RU3 (from now on referred to as regions)</w:t>
      </w:r>
      <w:r w:rsidRPr="00085FA6">
        <w:rPr>
          <w:rFonts w:ascii="Times New Roman" w:hAnsi="Times New Roman" w:cs="Times New Roman"/>
          <w:lang w:val="en-GB"/>
        </w:rPr>
        <w:t xml:space="preserve"> are aggregates of the </w:t>
      </w:r>
      <w:r>
        <w:rPr>
          <w:rFonts w:ascii="Times New Roman" w:hAnsi="Times New Roman" w:cs="Times New Roman"/>
          <w:lang w:val="en-GB"/>
        </w:rPr>
        <w:t xml:space="preserve">seven </w:t>
      </w:r>
      <w:r w:rsidRPr="00085FA6">
        <w:rPr>
          <w:rFonts w:ascii="Times New Roman" w:hAnsi="Times New Roman" w:cs="Times New Roman"/>
          <w:lang w:val="en-GB"/>
        </w:rPr>
        <w:t xml:space="preserve">official Russian Federal </w:t>
      </w:r>
      <w:r>
        <w:rPr>
          <w:rFonts w:ascii="Times New Roman" w:hAnsi="Times New Roman" w:cs="Times New Roman"/>
          <w:lang w:val="en-GB"/>
        </w:rPr>
        <w:t>districts</w:t>
      </w:r>
      <w:r w:rsidRPr="00085FA6">
        <w:rPr>
          <w:rFonts w:ascii="Times New Roman" w:hAnsi="Times New Roman" w:cs="Times New Roman"/>
          <w:lang w:val="en-GB"/>
        </w:rPr>
        <w:t xml:space="preserve"> </w:t>
      </w:r>
      <w:r>
        <w:rPr>
          <w:rFonts w:ascii="Times New Roman" w:hAnsi="Times New Roman" w:cs="Times New Roman"/>
          <w:lang w:val="en-GB"/>
        </w:rPr>
        <w:t xml:space="preserve">where </w:t>
      </w:r>
      <w:r w:rsidRPr="00085FA6">
        <w:rPr>
          <w:rFonts w:ascii="Times New Roman" w:hAnsi="Times New Roman" w:cs="Times New Roman"/>
          <w:lang w:val="en-GB"/>
        </w:rPr>
        <w:t>RU1 corresponds to the Central Federal District, Volga Federal District, Northern Caucasus Federal District, North Western Federal District and Southern Federal District,</w:t>
      </w:r>
      <w:r w:rsidRPr="00085FA6">
        <w:rPr>
          <w:rStyle w:val="FootnoteReference"/>
          <w:rFonts w:ascii="Times New Roman" w:hAnsi="Times New Roman" w:cs="Times New Roman"/>
          <w:lang w:val="en-GB"/>
        </w:rPr>
        <w:footnoteReference w:id="2"/>
      </w:r>
      <w:r w:rsidRPr="00085FA6">
        <w:rPr>
          <w:rFonts w:ascii="Times New Roman" w:hAnsi="Times New Roman" w:cs="Times New Roman"/>
          <w:lang w:val="en-GB"/>
        </w:rPr>
        <w:t xml:space="preserve"> RU2 to Ural Federal District and RU3 to Siberia and the Far Eastern Federal District. </w:t>
      </w:r>
    </w:p>
    <w:p w:rsidR="00773556" w:rsidRPr="00325F6D" w:rsidRDefault="00773556" w:rsidP="00773556">
      <w:pPr>
        <w:jc w:val="both"/>
        <w:rPr>
          <w:rFonts w:ascii="Times New Roman" w:hAnsi="Times New Roman" w:cs="Times New Roman"/>
          <w:b/>
          <w:sz w:val="20"/>
          <w:szCs w:val="20"/>
          <w:lang w:val="en-GB"/>
        </w:rPr>
      </w:pPr>
      <w:r w:rsidRPr="00085FA6">
        <w:rPr>
          <w:rFonts w:ascii="Times New Roman" w:hAnsi="Times New Roman" w:cs="Times New Roman"/>
          <w:lang w:val="en-GB"/>
        </w:rPr>
        <w:br/>
      </w:r>
      <w:r w:rsidRPr="00325F6D">
        <w:rPr>
          <w:rFonts w:ascii="Times New Roman" w:hAnsi="Times New Roman" w:cs="Times New Roman"/>
          <w:b/>
          <w:sz w:val="20"/>
          <w:szCs w:val="20"/>
          <w:lang w:val="en-GB"/>
        </w:rPr>
        <w:t xml:space="preserve">Figure </w:t>
      </w:r>
      <w:r>
        <w:rPr>
          <w:rFonts w:ascii="Times New Roman" w:hAnsi="Times New Roman" w:cs="Times New Roman"/>
          <w:b/>
          <w:sz w:val="20"/>
          <w:szCs w:val="20"/>
          <w:lang w:val="en-GB"/>
        </w:rPr>
        <w:t>5</w:t>
      </w:r>
      <w:r w:rsidRPr="00325F6D">
        <w:rPr>
          <w:rFonts w:ascii="Times New Roman" w:hAnsi="Times New Roman" w:cs="Times New Roman"/>
          <w:b/>
          <w:sz w:val="20"/>
          <w:szCs w:val="20"/>
          <w:lang w:val="en-GB"/>
        </w:rPr>
        <w:t xml:space="preserve"> Map of Russian regions in LIBEMOD</w:t>
      </w:r>
    </w:p>
    <w:p w:rsidR="00773556" w:rsidRPr="00085FA6" w:rsidRDefault="00773556" w:rsidP="00773556">
      <w:pPr>
        <w:rPr>
          <w:rFonts w:ascii="Times New Roman" w:hAnsi="Times New Roman" w:cs="Times New Roman"/>
          <w:lang w:val="en-GB"/>
        </w:rPr>
      </w:pPr>
      <w:r>
        <w:rPr>
          <w:rFonts w:ascii="Times New Roman" w:hAnsi="Times New Roman" w:cs="Times New Roman"/>
          <w:noProof/>
        </w:rPr>
        <w:drawing>
          <wp:inline distT="0" distB="0" distL="0" distR="0" wp14:anchorId="37850556" wp14:editId="052A8CE3">
            <wp:extent cx="6645910" cy="38354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Russia_regional.png"/>
                    <pic:cNvPicPr/>
                  </pic:nvPicPr>
                  <pic:blipFill>
                    <a:blip r:embed="rId8">
                      <a:extLst>
                        <a:ext uri="{28A0092B-C50C-407E-A947-70E740481C1C}">
                          <a14:useLocalDpi xmlns:a14="http://schemas.microsoft.com/office/drawing/2010/main" val="0"/>
                        </a:ext>
                      </a:extLst>
                    </a:blip>
                    <a:stretch>
                      <a:fillRect/>
                    </a:stretch>
                  </pic:blipFill>
                  <pic:spPr>
                    <a:xfrm>
                      <a:off x="0" y="0"/>
                      <a:ext cx="6645910" cy="3835400"/>
                    </a:xfrm>
                    <a:prstGeom prst="rect">
                      <a:avLst/>
                    </a:prstGeom>
                  </pic:spPr>
                </pic:pic>
              </a:graphicData>
            </a:graphic>
          </wp:inline>
        </w:drawing>
      </w:r>
    </w:p>
    <w:p w:rsidR="00773556" w:rsidRDefault="00773556" w:rsidP="00773556">
      <w:pPr>
        <w:jc w:val="both"/>
        <w:rPr>
          <w:rFonts w:ascii="Times New Roman" w:hAnsi="Times New Roman" w:cs="Times New Roman"/>
          <w:lang w:val="en-GB"/>
        </w:rPr>
      </w:pPr>
      <w:r>
        <w:rPr>
          <w:rFonts w:ascii="Times New Roman" w:hAnsi="Times New Roman" w:cs="Times New Roman"/>
          <w:lang w:val="en-GB"/>
        </w:rPr>
        <w:t xml:space="preserve">As far as possible the three Russian regions have been treated in exactly the same way as the other model countries. Various additional Russian sources have been used to get a complete dataset for each region. A lot of official Russian statistics is available on a federal district level, which has made it possible to create datasets for RU1, RU2 and RU3. However, in some instances the hunt for data on a regional level has not been successful and own assumptions have been made. </w:t>
      </w:r>
    </w:p>
    <w:p w:rsidR="00773556" w:rsidRDefault="00773556" w:rsidP="00773556">
      <w:pPr>
        <w:jc w:val="both"/>
        <w:rPr>
          <w:rFonts w:ascii="Times New Roman" w:hAnsi="Times New Roman" w:cs="Times New Roman"/>
          <w:lang w:val="en-GB"/>
        </w:rPr>
      </w:pPr>
      <w:r>
        <w:rPr>
          <w:rFonts w:ascii="Times New Roman" w:hAnsi="Times New Roman" w:cs="Times New Roman"/>
          <w:lang w:val="en-GB"/>
        </w:rPr>
        <w:t xml:space="preserve">The following chapters address these data issues and outline sources and assumptions. Where we have used the same input parameters as for the other model countries this is generally not described below and the reader is referred to the previous chapters. This does for instance apply to the cost data for new power plants. </w:t>
      </w:r>
    </w:p>
    <w:p w:rsidR="00773556" w:rsidRDefault="00773556" w:rsidP="00773556">
      <w:pPr>
        <w:pStyle w:val="Heading3"/>
        <w:jc w:val="both"/>
        <w:rPr>
          <w:lang w:val="en-GB"/>
        </w:rPr>
      </w:pPr>
      <w:r>
        <w:rPr>
          <w:lang w:val="en-GB"/>
        </w:rPr>
        <w:lastRenderedPageBreak/>
        <w:br/>
      </w:r>
      <w:bookmarkStart w:id="1" w:name="_Toc386631743"/>
      <w:r>
        <w:rPr>
          <w:lang w:val="en-GB"/>
        </w:rPr>
        <w:t>3.7.1 Quantities</w:t>
      </w:r>
      <w:bookmarkEnd w:id="1"/>
    </w:p>
    <w:p w:rsidR="00773556" w:rsidRDefault="00773556" w:rsidP="00773556">
      <w:pPr>
        <w:jc w:val="both"/>
        <w:rPr>
          <w:rFonts w:ascii="Times New Roman" w:hAnsi="Times New Roman" w:cs="Times New Roman"/>
          <w:lang w:val="en-GB"/>
        </w:rPr>
      </w:pPr>
      <w:r w:rsidRPr="004F19CF">
        <w:rPr>
          <w:rFonts w:ascii="Times New Roman" w:hAnsi="Times New Roman" w:cs="Times New Roman"/>
          <w:lang w:val="en-GB"/>
        </w:rPr>
        <w:t>The IEA Extended World Energy Balances database</w:t>
      </w:r>
      <w:r>
        <w:rPr>
          <w:rFonts w:ascii="Times New Roman" w:hAnsi="Times New Roman" w:cs="Times New Roman"/>
          <w:lang w:val="en-GB"/>
        </w:rPr>
        <w:t xml:space="preserve"> (IEA 2010)</w:t>
      </w:r>
      <w:r w:rsidRPr="004F19CF">
        <w:rPr>
          <w:rFonts w:ascii="Times New Roman" w:hAnsi="Times New Roman" w:cs="Times New Roman"/>
          <w:lang w:val="en-GB"/>
        </w:rPr>
        <w:t xml:space="preserve"> has a full set of </w:t>
      </w:r>
      <w:r>
        <w:rPr>
          <w:rFonts w:ascii="Times New Roman" w:hAnsi="Times New Roman" w:cs="Times New Roman"/>
          <w:lang w:val="en-GB"/>
        </w:rPr>
        <w:t xml:space="preserve">consumption </w:t>
      </w:r>
      <w:r w:rsidRPr="004F19CF">
        <w:rPr>
          <w:rFonts w:ascii="Times New Roman" w:hAnsi="Times New Roman" w:cs="Times New Roman"/>
          <w:lang w:val="en-GB"/>
        </w:rPr>
        <w:t xml:space="preserve">data for Russia, but due to the regional structure in the model additional data sources and own assumptions have been used to complete the dataset. A comprehensive data source for energy consumption on a federal district level for Russia has not been identified and information regarding sectorial consumption is generally hard to find. </w:t>
      </w:r>
      <w:r w:rsidRPr="00085FA6">
        <w:rPr>
          <w:rFonts w:ascii="Times New Roman" w:hAnsi="Times New Roman" w:cs="Times New Roman"/>
          <w:lang w:val="en-GB"/>
        </w:rPr>
        <w:t>The sources are mainly Russian, and vary between energy goods. Below is an outline of the data sources and assumptions for each of the energy goods</w:t>
      </w:r>
      <w:r>
        <w:rPr>
          <w:rFonts w:ascii="Times New Roman" w:hAnsi="Times New Roman" w:cs="Times New Roman"/>
          <w:lang w:val="en-GB"/>
        </w:rPr>
        <w:t xml:space="preserve"> included in the model</w:t>
      </w:r>
      <w:r w:rsidRPr="00085FA6">
        <w:rPr>
          <w:rFonts w:ascii="Times New Roman" w:hAnsi="Times New Roman" w:cs="Times New Roman"/>
          <w:lang w:val="en-GB"/>
        </w:rPr>
        <w:t>.</w:t>
      </w:r>
      <w:r>
        <w:rPr>
          <w:rFonts w:ascii="Times New Roman" w:hAnsi="Times New Roman" w:cs="Times New Roman"/>
          <w:lang w:val="en-GB"/>
        </w:rPr>
        <w:t xml:space="preserve"> </w:t>
      </w:r>
      <w:r w:rsidRPr="004F19CF">
        <w:rPr>
          <w:rFonts w:ascii="Times New Roman" w:hAnsi="Times New Roman" w:cs="Times New Roman"/>
          <w:lang w:val="en-GB"/>
        </w:rPr>
        <w:t xml:space="preserve">To ensure consistency within the model the energy balance from IEA Extended Energy Balances has been used as the total for Russia (the sum of RU1, RU2 and RU3). </w:t>
      </w:r>
    </w:p>
    <w:p w:rsidR="00773556" w:rsidRDefault="00773556" w:rsidP="00773556">
      <w:pPr>
        <w:jc w:val="both"/>
        <w:rPr>
          <w:rFonts w:ascii="Times New Roman" w:hAnsi="Times New Roman" w:cs="Times New Roman"/>
          <w:lang w:val="en-GB"/>
        </w:rPr>
      </w:pPr>
      <w:r w:rsidRPr="00085FA6">
        <w:rPr>
          <w:rFonts w:ascii="Times New Roman" w:hAnsi="Times New Roman" w:cs="Times New Roman"/>
          <w:lang w:val="en-GB"/>
        </w:rPr>
        <w:t xml:space="preserve">The IEA has national data for </w:t>
      </w:r>
      <w:r w:rsidRPr="00085FA6">
        <w:rPr>
          <w:rFonts w:ascii="Times New Roman" w:hAnsi="Times New Roman" w:cs="Times New Roman"/>
          <w:i/>
          <w:lang w:val="en-GB"/>
        </w:rPr>
        <w:t>electricity</w:t>
      </w:r>
      <w:r w:rsidRPr="00085FA6">
        <w:rPr>
          <w:rFonts w:ascii="Times New Roman" w:hAnsi="Times New Roman" w:cs="Times New Roman"/>
          <w:lang w:val="en-GB"/>
        </w:rPr>
        <w:t xml:space="preserve"> consumption for each of the </w:t>
      </w:r>
      <w:r>
        <w:rPr>
          <w:rFonts w:ascii="Times New Roman" w:hAnsi="Times New Roman" w:cs="Times New Roman"/>
          <w:lang w:val="en-GB"/>
        </w:rPr>
        <w:t xml:space="preserve">LIBEMOD </w:t>
      </w:r>
      <w:r w:rsidRPr="00085FA6">
        <w:rPr>
          <w:rFonts w:ascii="Times New Roman" w:hAnsi="Times New Roman" w:cs="Times New Roman"/>
          <w:lang w:val="en-GB"/>
        </w:rPr>
        <w:t>sectors, whereas the Russian Electricity Systems Operator UPS publishes data on the total regional consumption.</w:t>
      </w:r>
      <w:r w:rsidRPr="00085FA6">
        <w:rPr>
          <w:rStyle w:val="FootnoteReference"/>
          <w:rFonts w:ascii="Times New Roman" w:hAnsi="Times New Roman" w:cs="Times New Roman"/>
          <w:lang w:val="en-GB"/>
        </w:rPr>
        <w:footnoteReference w:id="3"/>
      </w:r>
      <w:r w:rsidRPr="00085FA6">
        <w:rPr>
          <w:rFonts w:ascii="Times New Roman" w:hAnsi="Times New Roman" w:cs="Times New Roman"/>
          <w:lang w:val="en-GB"/>
        </w:rPr>
        <w:t xml:space="preserve"> </w:t>
      </w:r>
      <w:r w:rsidRPr="009B4034">
        <w:rPr>
          <w:rFonts w:ascii="Times New Roman" w:hAnsi="Times New Roman" w:cs="Times New Roman"/>
          <w:lang w:val="en-GB"/>
        </w:rPr>
        <w:t xml:space="preserve">ABPE (2011) </w:t>
      </w:r>
      <w:r>
        <w:rPr>
          <w:rFonts w:ascii="Times New Roman" w:hAnsi="Times New Roman" w:cs="Times New Roman"/>
          <w:lang w:val="en-GB"/>
        </w:rPr>
        <w:t xml:space="preserve">has consumption data for all the federal districts by sector for 2009. The totals for each sector are not quite the same, so the IEA total is used for each sector, and the consumption in the three regions is allocated based on the data from </w:t>
      </w:r>
      <w:r w:rsidRPr="009B4034">
        <w:rPr>
          <w:rFonts w:ascii="Times New Roman" w:hAnsi="Times New Roman" w:cs="Times New Roman"/>
          <w:lang w:val="en-GB"/>
        </w:rPr>
        <w:t xml:space="preserve">ABPE (2011).  </w:t>
      </w:r>
    </w:p>
    <w:p w:rsidR="00773556" w:rsidRPr="00085FA6" w:rsidRDefault="00773556" w:rsidP="00773556">
      <w:pPr>
        <w:jc w:val="both"/>
        <w:rPr>
          <w:rFonts w:ascii="Times New Roman" w:hAnsi="Times New Roman" w:cs="Times New Roman"/>
          <w:lang w:val="en-GB"/>
        </w:rPr>
      </w:pPr>
      <w:proofErr w:type="spellStart"/>
      <w:r w:rsidRPr="00085FA6">
        <w:rPr>
          <w:rFonts w:ascii="Times New Roman" w:hAnsi="Times New Roman" w:cs="Times New Roman"/>
          <w:lang w:val="en-GB"/>
        </w:rPr>
        <w:t>Pirani</w:t>
      </w:r>
      <w:proofErr w:type="spellEnd"/>
      <w:r w:rsidRPr="00085FA6">
        <w:rPr>
          <w:rFonts w:ascii="Times New Roman" w:hAnsi="Times New Roman" w:cs="Times New Roman"/>
          <w:lang w:val="en-GB"/>
        </w:rPr>
        <w:t xml:space="preserve"> (2011) provides regional and sectorial data for </w:t>
      </w:r>
      <w:r w:rsidRPr="00085FA6">
        <w:rPr>
          <w:rFonts w:ascii="Times New Roman" w:hAnsi="Times New Roman" w:cs="Times New Roman"/>
          <w:i/>
          <w:lang w:val="en-GB"/>
        </w:rPr>
        <w:t>natural gas</w:t>
      </w:r>
      <w:r w:rsidRPr="00085FA6">
        <w:rPr>
          <w:rFonts w:ascii="Times New Roman" w:hAnsi="Times New Roman" w:cs="Times New Roman"/>
          <w:lang w:val="en-GB"/>
        </w:rPr>
        <w:t xml:space="preserve"> consumption in Russia in 2004. </w:t>
      </w:r>
      <w:r>
        <w:rPr>
          <w:rFonts w:ascii="Times New Roman" w:hAnsi="Times New Roman" w:cs="Times New Roman"/>
          <w:lang w:val="en-GB"/>
        </w:rPr>
        <w:t>It has not been possible to locate the same data for the base year so it is</w:t>
      </w:r>
      <w:r w:rsidRPr="00085FA6">
        <w:rPr>
          <w:rFonts w:ascii="Times New Roman" w:hAnsi="Times New Roman" w:cs="Times New Roman"/>
          <w:lang w:val="en-GB"/>
        </w:rPr>
        <w:t xml:space="preserve"> assumed that the same distribution </w:t>
      </w:r>
      <w:r>
        <w:rPr>
          <w:rFonts w:ascii="Times New Roman" w:hAnsi="Times New Roman" w:cs="Times New Roman"/>
          <w:lang w:val="en-GB"/>
        </w:rPr>
        <w:t xml:space="preserve">across regions and sectors </w:t>
      </w:r>
      <w:r w:rsidRPr="00085FA6">
        <w:rPr>
          <w:rFonts w:ascii="Times New Roman" w:hAnsi="Times New Roman" w:cs="Times New Roman"/>
          <w:lang w:val="en-GB"/>
        </w:rPr>
        <w:t>applied in 2009</w:t>
      </w:r>
      <w:r>
        <w:rPr>
          <w:rFonts w:ascii="Times New Roman" w:hAnsi="Times New Roman" w:cs="Times New Roman"/>
          <w:lang w:val="en-GB"/>
        </w:rPr>
        <w:t>.</w:t>
      </w:r>
      <w:r w:rsidRPr="00085FA6">
        <w:rPr>
          <w:rFonts w:ascii="Times New Roman" w:hAnsi="Times New Roman" w:cs="Times New Roman"/>
          <w:lang w:val="en-GB"/>
        </w:rPr>
        <w:t xml:space="preserve"> </w:t>
      </w:r>
      <w:r>
        <w:rPr>
          <w:rFonts w:ascii="Times New Roman" w:hAnsi="Times New Roman" w:cs="Times New Roman"/>
          <w:lang w:val="en-GB"/>
        </w:rPr>
        <w:t>T</w:t>
      </w:r>
      <w:r w:rsidRPr="00085FA6">
        <w:rPr>
          <w:rFonts w:ascii="Times New Roman" w:hAnsi="Times New Roman" w:cs="Times New Roman"/>
          <w:lang w:val="en-GB"/>
        </w:rPr>
        <w:t xml:space="preserve">his </w:t>
      </w:r>
      <w:r>
        <w:rPr>
          <w:rFonts w:ascii="Times New Roman" w:hAnsi="Times New Roman" w:cs="Times New Roman"/>
          <w:lang w:val="en-GB"/>
        </w:rPr>
        <w:t xml:space="preserve">information was then used </w:t>
      </w:r>
      <w:r w:rsidRPr="00085FA6">
        <w:rPr>
          <w:rFonts w:ascii="Times New Roman" w:hAnsi="Times New Roman" w:cs="Times New Roman"/>
          <w:lang w:val="en-GB"/>
        </w:rPr>
        <w:t xml:space="preserve">to allocate the IEA national quantities for 2009 to </w:t>
      </w:r>
      <w:r>
        <w:rPr>
          <w:rFonts w:ascii="Times New Roman" w:hAnsi="Times New Roman" w:cs="Times New Roman"/>
          <w:lang w:val="en-GB"/>
        </w:rPr>
        <w:t>the</w:t>
      </w:r>
      <w:r w:rsidRPr="00085FA6">
        <w:rPr>
          <w:rFonts w:ascii="Times New Roman" w:hAnsi="Times New Roman" w:cs="Times New Roman"/>
          <w:lang w:val="en-GB"/>
        </w:rPr>
        <w:t xml:space="preserve"> three regions. </w:t>
      </w:r>
      <w:r>
        <w:rPr>
          <w:rFonts w:ascii="Times New Roman" w:hAnsi="Times New Roman" w:cs="Times New Roman"/>
          <w:lang w:val="en-GB"/>
        </w:rPr>
        <w:t xml:space="preserve">For the gas used in power production actual data for 2009 from ABPE (2010) has been used. </w:t>
      </w:r>
    </w:p>
    <w:p w:rsidR="00773556" w:rsidRPr="00085FA6" w:rsidRDefault="00773556" w:rsidP="00773556">
      <w:pPr>
        <w:jc w:val="both"/>
        <w:rPr>
          <w:rFonts w:ascii="Times New Roman" w:hAnsi="Times New Roman" w:cs="Times New Roman"/>
          <w:lang w:val="en-GB"/>
        </w:rPr>
      </w:pPr>
      <w:r w:rsidRPr="00085FA6">
        <w:rPr>
          <w:rFonts w:ascii="Times New Roman" w:hAnsi="Times New Roman" w:cs="Times New Roman"/>
          <w:lang w:val="en-GB"/>
        </w:rPr>
        <w:t xml:space="preserve">The IEA has national data for the consumption of the three </w:t>
      </w:r>
      <w:r w:rsidRPr="00085FA6">
        <w:rPr>
          <w:rFonts w:ascii="Times New Roman" w:hAnsi="Times New Roman" w:cs="Times New Roman"/>
          <w:i/>
          <w:lang w:val="en-GB"/>
        </w:rPr>
        <w:t>coal</w:t>
      </w:r>
      <w:r w:rsidRPr="00085FA6">
        <w:rPr>
          <w:rFonts w:ascii="Times New Roman" w:hAnsi="Times New Roman" w:cs="Times New Roman"/>
          <w:lang w:val="en-GB"/>
        </w:rPr>
        <w:t xml:space="preserve"> types; steam coal, coking coal and lignite. Statistical Yearbook </w:t>
      </w:r>
      <w:r>
        <w:rPr>
          <w:rFonts w:ascii="Times New Roman" w:hAnsi="Times New Roman" w:cs="Times New Roman"/>
          <w:lang w:val="en-GB"/>
        </w:rPr>
        <w:t xml:space="preserve">of Russia </w:t>
      </w:r>
      <w:r w:rsidRPr="00085FA6">
        <w:rPr>
          <w:rFonts w:ascii="Times New Roman" w:hAnsi="Times New Roman" w:cs="Times New Roman"/>
          <w:lang w:val="en-GB"/>
        </w:rPr>
        <w:t>(</w:t>
      </w:r>
      <w:hyperlink r:id="rId9" w:history="1">
        <w:r w:rsidRPr="00085FA6">
          <w:rPr>
            <w:rStyle w:val="Hyperlink"/>
            <w:rFonts w:ascii="Times New Roman" w:hAnsi="Times New Roman" w:cs="Times New Roman"/>
            <w:lang w:val="en-GB"/>
          </w:rPr>
          <w:t>www.fedstat.ru</w:t>
        </w:r>
      </w:hyperlink>
      <w:r>
        <w:rPr>
          <w:rFonts w:ascii="Times New Roman" w:hAnsi="Times New Roman" w:cs="Times New Roman"/>
          <w:lang w:val="en-GB"/>
        </w:rPr>
        <w:t xml:space="preserve">) has </w:t>
      </w:r>
      <w:r w:rsidRPr="00085FA6">
        <w:rPr>
          <w:rFonts w:ascii="Times New Roman" w:hAnsi="Times New Roman" w:cs="Times New Roman"/>
          <w:lang w:val="en-GB"/>
        </w:rPr>
        <w:t xml:space="preserve">data </w:t>
      </w:r>
      <w:r>
        <w:rPr>
          <w:rFonts w:ascii="Times New Roman" w:hAnsi="Times New Roman" w:cs="Times New Roman"/>
          <w:lang w:val="en-GB"/>
        </w:rPr>
        <w:t>for</w:t>
      </w:r>
      <w:r w:rsidRPr="00085FA6">
        <w:rPr>
          <w:rFonts w:ascii="Times New Roman" w:hAnsi="Times New Roman" w:cs="Times New Roman"/>
          <w:lang w:val="en-GB"/>
        </w:rPr>
        <w:t xml:space="preserve"> total coal consumption</w:t>
      </w:r>
      <w:r>
        <w:rPr>
          <w:rFonts w:ascii="Times New Roman" w:hAnsi="Times New Roman" w:cs="Times New Roman"/>
          <w:lang w:val="en-GB"/>
        </w:rPr>
        <w:t xml:space="preserve"> in each federal region, which was used to find total coal consumption for ru1/ru2/ru3</w:t>
      </w:r>
      <w:r w:rsidRPr="00085FA6">
        <w:rPr>
          <w:rFonts w:ascii="Times New Roman" w:hAnsi="Times New Roman" w:cs="Times New Roman"/>
          <w:lang w:val="en-GB"/>
        </w:rPr>
        <w:t>.</w:t>
      </w:r>
      <w:r>
        <w:rPr>
          <w:rFonts w:ascii="Times New Roman" w:hAnsi="Times New Roman" w:cs="Times New Roman"/>
          <w:lang w:val="en-GB"/>
        </w:rPr>
        <w:t xml:space="preserve"> To allocate the consumption between sectors in each region several Russian sources were used along with some own assumptions. </w:t>
      </w:r>
      <w:r w:rsidRPr="00085FA6">
        <w:rPr>
          <w:rFonts w:ascii="Times New Roman" w:hAnsi="Times New Roman" w:cs="Times New Roman"/>
          <w:lang w:val="en-GB"/>
        </w:rPr>
        <w:t xml:space="preserve">For </w:t>
      </w:r>
      <w:r w:rsidRPr="00085FA6">
        <w:rPr>
          <w:rFonts w:ascii="Times New Roman" w:hAnsi="Times New Roman" w:cs="Times New Roman"/>
          <w:i/>
          <w:lang w:val="en-GB"/>
        </w:rPr>
        <w:t>steam coal</w:t>
      </w:r>
      <w:r w:rsidRPr="00085FA6">
        <w:rPr>
          <w:rFonts w:ascii="Times New Roman" w:hAnsi="Times New Roman" w:cs="Times New Roman"/>
          <w:lang w:val="en-GB"/>
        </w:rPr>
        <w:t xml:space="preserve"> and </w:t>
      </w:r>
      <w:r w:rsidRPr="00085FA6">
        <w:rPr>
          <w:rFonts w:ascii="Times New Roman" w:hAnsi="Times New Roman" w:cs="Times New Roman"/>
          <w:i/>
          <w:lang w:val="en-GB"/>
        </w:rPr>
        <w:t>lignite</w:t>
      </w:r>
      <w:r w:rsidRPr="00085FA6">
        <w:rPr>
          <w:rFonts w:ascii="Times New Roman" w:hAnsi="Times New Roman" w:cs="Times New Roman"/>
          <w:lang w:val="en-GB"/>
        </w:rPr>
        <w:t xml:space="preserve"> the following approach</w:t>
      </w:r>
      <w:r>
        <w:rPr>
          <w:rFonts w:ascii="Times New Roman" w:hAnsi="Times New Roman" w:cs="Times New Roman"/>
          <w:lang w:val="en-GB"/>
        </w:rPr>
        <w:t xml:space="preserve"> was used</w:t>
      </w:r>
      <w:r w:rsidRPr="00085FA6">
        <w:rPr>
          <w:rFonts w:ascii="Times New Roman" w:hAnsi="Times New Roman" w:cs="Times New Roman"/>
          <w:lang w:val="en-GB"/>
        </w:rPr>
        <w:t xml:space="preserve">: </w:t>
      </w:r>
      <w:r>
        <w:rPr>
          <w:rFonts w:ascii="Times New Roman" w:hAnsi="Times New Roman" w:cs="Times New Roman"/>
          <w:lang w:val="en-GB"/>
        </w:rPr>
        <w:t xml:space="preserve">APBE (2010) has data for electricity produced in each federal district by fuel in 2009. These shares are used for the electricity producing sector for steam coal and lignite. For the household, service and transport sector population shares were applied, whereas for the industry sector consumption is set to that of the IEA data for all three regions. </w:t>
      </w:r>
      <w:r w:rsidRPr="00085FA6">
        <w:rPr>
          <w:rFonts w:ascii="Times New Roman" w:hAnsi="Times New Roman" w:cs="Times New Roman"/>
          <w:lang w:val="en-GB"/>
        </w:rPr>
        <w:t xml:space="preserve">For </w:t>
      </w:r>
      <w:r w:rsidRPr="00085FA6">
        <w:rPr>
          <w:rFonts w:ascii="Times New Roman" w:hAnsi="Times New Roman" w:cs="Times New Roman"/>
          <w:i/>
          <w:lang w:val="en-GB"/>
        </w:rPr>
        <w:t>coking coal</w:t>
      </w:r>
      <w:r w:rsidRPr="00085FA6">
        <w:rPr>
          <w:rFonts w:ascii="Times New Roman" w:hAnsi="Times New Roman" w:cs="Times New Roman"/>
          <w:lang w:val="en-GB"/>
        </w:rPr>
        <w:t xml:space="preserve"> all the consumption takes place </w:t>
      </w:r>
      <w:r>
        <w:rPr>
          <w:rFonts w:ascii="Times New Roman" w:hAnsi="Times New Roman" w:cs="Times New Roman"/>
          <w:lang w:val="en-GB"/>
        </w:rPr>
        <w:t>with</w:t>
      </w:r>
      <w:r w:rsidRPr="00085FA6">
        <w:rPr>
          <w:rFonts w:ascii="Times New Roman" w:hAnsi="Times New Roman" w:cs="Times New Roman"/>
          <w:lang w:val="en-GB"/>
        </w:rPr>
        <w:t xml:space="preserve">in the industry sector. </w:t>
      </w:r>
      <w:r>
        <w:rPr>
          <w:rFonts w:ascii="Times New Roman" w:hAnsi="Times New Roman" w:cs="Times New Roman"/>
          <w:lang w:val="en-GB"/>
        </w:rPr>
        <w:t xml:space="preserve">Due to not finding any data sources for regional consumption own assumptions have been made. </w:t>
      </w:r>
      <w:r w:rsidRPr="00085FA6">
        <w:rPr>
          <w:rFonts w:ascii="Times New Roman" w:hAnsi="Times New Roman" w:cs="Times New Roman"/>
          <w:lang w:val="en-GB"/>
        </w:rPr>
        <w:t xml:space="preserve">Because a large share of </w:t>
      </w:r>
      <w:r>
        <w:rPr>
          <w:rFonts w:ascii="Times New Roman" w:hAnsi="Times New Roman" w:cs="Times New Roman"/>
          <w:lang w:val="en-GB"/>
        </w:rPr>
        <w:t xml:space="preserve">the </w:t>
      </w:r>
      <w:r w:rsidRPr="00085FA6">
        <w:rPr>
          <w:rFonts w:ascii="Times New Roman" w:hAnsi="Times New Roman" w:cs="Times New Roman"/>
          <w:lang w:val="en-GB"/>
        </w:rPr>
        <w:t xml:space="preserve">coking coal </w:t>
      </w:r>
      <w:r>
        <w:rPr>
          <w:rFonts w:ascii="Times New Roman" w:hAnsi="Times New Roman" w:cs="Times New Roman"/>
          <w:lang w:val="en-GB"/>
        </w:rPr>
        <w:t xml:space="preserve">consumed in Russia </w:t>
      </w:r>
      <w:r w:rsidRPr="00085FA6">
        <w:rPr>
          <w:rFonts w:ascii="Times New Roman" w:hAnsi="Times New Roman" w:cs="Times New Roman"/>
          <w:lang w:val="en-GB"/>
        </w:rPr>
        <w:t>is used in steel production, the consumption is allocated between the regions based on data on regional steel production</w:t>
      </w:r>
      <w:r>
        <w:rPr>
          <w:rFonts w:ascii="Times New Roman" w:hAnsi="Times New Roman" w:cs="Times New Roman"/>
          <w:lang w:val="en-GB"/>
        </w:rPr>
        <w:t xml:space="preserve"> in 2009 from</w:t>
      </w:r>
      <w:r w:rsidRPr="00085FA6">
        <w:rPr>
          <w:rFonts w:ascii="Times New Roman" w:hAnsi="Times New Roman" w:cs="Times New Roman"/>
          <w:lang w:val="en-GB"/>
        </w:rPr>
        <w:t xml:space="preserve"> Statistical Yearbook of Russia. </w:t>
      </w:r>
    </w:p>
    <w:p w:rsidR="00773556" w:rsidRPr="00085FA6" w:rsidRDefault="00773556" w:rsidP="00773556">
      <w:pPr>
        <w:jc w:val="both"/>
        <w:rPr>
          <w:rFonts w:ascii="Times New Roman" w:hAnsi="Times New Roman" w:cs="Times New Roman"/>
          <w:lang w:val="en-GB"/>
        </w:rPr>
      </w:pPr>
      <w:r>
        <w:rPr>
          <w:rFonts w:ascii="Times New Roman" w:hAnsi="Times New Roman" w:cs="Times New Roman"/>
          <w:lang w:val="en-GB"/>
        </w:rPr>
        <w:t xml:space="preserve">APBE (2010) is used for </w:t>
      </w:r>
      <w:r w:rsidRPr="00244EDB">
        <w:rPr>
          <w:rFonts w:ascii="Times New Roman" w:hAnsi="Times New Roman" w:cs="Times New Roman"/>
          <w:i/>
          <w:lang w:val="en-GB"/>
        </w:rPr>
        <w:t xml:space="preserve">oil </w:t>
      </w:r>
      <w:r>
        <w:rPr>
          <w:rFonts w:ascii="Times New Roman" w:hAnsi="Times New Roman" w:cs="Times New Roman"/>
          <w:lang w:val="en-GB"/>
        </w:rPr>
        <w:t>consumption in electricity production for all three regions. For the transport sector regional consumption is based on an overview of consumption of gasoline and diesel fuel by federal districts for 2010.</w:t>
      </w:r>
      <w:r>
        <w:rPr>
          <w:rStyle w:val="FootnoteReference"/>
          <w:rFonts w:ascii="Times New Roman" w:hAnsi="Times New Roman" w:cs="Times New Roman"/>
          <w:lang w:val="en-GB"/>
        </w:rPr>
        <w:footnoteReference w:id="4"/>
      </w:r>
      <w:r>
        <w:rPr>
          <w:rFonts w:ascii="Times New Roman" w:hAnsi="Times New Roman" w:cs="Times New Roman"/>
          <w:lang w:val="en-GB"/>
        </w:rPr>
        <w:t xml:space="preserve"> The consumption in households</w:t>
      </w:r>
      <w:r w:rsidRPr="00085FA6">
        <w:rPr>
          <w:rFonts w:ascii="Times New Roman" w:hAnsi="Times New Roman" w:cs="Times New Roman"/>
          <w:lang w:val="en-GB"/>
        </w:rPr>
        <w:t xml:space="preserve"> and </w:t>
      </w:r>
      <w:r>
        <w:rPr>
          <w:rFonts w:ascii="Times New Roman" w:hAnsi="Times New Roman" w:cs="Times New Roman"/>
          <w:lang w:val="en-GB"/>
        </w:rPr>
        <w:t xml:space="preserve">the </w:t>
      </w:r>
      <w:r w:rsidRPr="00085FA6">
        <w:rPr>
          <w:rFonts w:ascii="Times New Roman" w:hAnsi="Times New Roman" w:cs="Times New Roman"/>
          <w:lang w:val="en-GB"/>
        </w:rPr>
        <w:t>service</w:t>
      </w:r>
      <w:r>
        <w:rPr>
          <w:rFonts w:ascii="Times New Roman" w:hAnsi="Times New Roman" w:cs="Times New Roman"/>
          <w:lang w:val="en-GB"/>
        </w:rPr>
        <w:t xml:space="preserve"> </w:t>
      </w:r>
      <w:r w:rsidRPr="00085FA6">
        <w:rPr>
          <w:rFonts w:ascii="Times New Roman" w:hAnsi="Times New Roman" w:cs="Times New Roman"/>
          <w:lang w:val="en-GB"/>
        </w:rPr>
        <w:t>s</w:t>
      </w:r>
      <w:r>
        <w:rPr>
          <w:rFonts w:ascii="Times New Roman" w:hAnsi="Times New Roman" w:cs="Times New Roman"/>
          <w:lang w:val="en-GB"/>
        </w:rPr>
        <w:t xml:space="preserve">ector is </w:t>
      </w:r>
      <w:r w:rsidRPr="00085FA6">
        <w:rPr>
          <w:rFonts w:ascii="Times New Roman" w:hAnsi="Times New Roman" w:cs="Times New Roman"/>
          <w:lang w:val="en-GB"/>
        </w:rPr>
        <w:t>allocate</w:t>
      </w:r>
      <w:r>
        <w:rPr>
          <w:rFonts w:ascii="Times New Roman" w:hAnsi="Times New Roman" w:cs="Times New Roman"/>
          <w:lang w:val="en-GB"/>
        </w:rPr>
        <w:t>d</w:t>
      </w:r>
      <w:r w:rsidRPr="00085FA6">
        <w:rPr>
          <w:rFonts w:ascii="Times New Roman" w:hAnsi="Times New Roman" w:cs="Times New Roman"/>
          <w:lang w:val="en-GB"/>
        </w:rPr>
        <w:t xml:space="preserve"> </w:t>
      </w:r>
      <w:r>
        <w:rPr>
          <w:rFonts w:ascii="Times New Roman" w:hAnsi="Times New Roman" w:cs="Times New Roman"/>
          <w:lang w:val="en-GB"/>
        </w:rPr>
        <w:t xml:space="preserve">based on population, whereas for </w:t>
      </w:r>
      <w:r w:rsidRPr="00085FA6">
        <w:rPr>
          <w:rFonts w:ascii="Times New Roman" w:hAnsi="Times New Roman" w:cs="Times New Roman"/>
          <w:lang w:val="en-GB"/>
        </w:rPr>
        <w:t xml:space="preserve">the industry sector </w:t>
      </w:r>
      <w:r>
        <w:rPr>
          <w:rFonts w:ascii="Times New Roman" w:hAnsi="Times New Roman" w:cs="Times New Roman"/>
          <w:lang w:val="en-GB"/>
        </w:rPr>
        <w:t>i</w:t>
      </w:r>
      <w:r w:rsidRPr="00085FA6">
        <w:rPr>
          <w:rFonts w:ascii="Times New Roman" w:hAnsi="Times New Roman" w:cs="Times New Roman"/>
          <w:lang w:val="en-GB"/>
        </w:rPr>
        <w:t xml:space="preserve">t </w:t>
      </w:r>
      <w:r>
        <w:rPr>
          <w:rFonts w:ascii="Times New Roman" w:hAnsi="Times New Roman" w:cs="Times New Roman"/>
          <w:lang w:val="en-GB"/>
        </w:rPr>
        <w:t xml:space="preserve">is assumed that </w:t>
      </w:r>
      <w:r w:rsidRPr="00085FA6">
        <w:rPr>
          <w:rFonts w:ascii="Times New Roman" w:hAnsi="Times New Roman" w:cs="Times New Roman"/>
          <w:lang w:val="en-GB"/>
        </w:rPr>
        <w:t xml:space="preserve">consumption is divided 45-45-10 between </w:t>
      </w:r>
      <w:r>
        <w:rPr>
          <w:rFonts w:ascii="Times New Roman" w:hAnsi="Times New Roman" w:cs="Times New Roman"/>
          <w:lang w:val="en-GB"/>
        </w:rPr>
        <w:t>RU</w:t>
      </w:r>
      <w:r w:rsidRPr="00085FA6">
        <w:rPr>
          <w:rFonts w:ascii="Times New Roman" w:hAnsi="Times New Roman" w:cs="Times New Roman"/>
          <w:lang w:val="en-GB"/>
        </w:rPr>
        <w:t xml:space="preserve">1, </w:t>
      </w:r>
      <w:r>
        <w:rPr>
          <w:rFonts w:ascii="Times New Roman" w:hAnsi="Times New Roman" w:cs="Times New Roman"/>
          <w:lang w:val="en-GB"/>
        </w:rPr>
        <w:t>RU</w:t>
      </w:r>
      <w:r w:rsidRPr="00085FA6">
        <w:rPr>
          <w:rFonts w:ascii="Times New Roman" w:hAnsi="Times New Roman" w:cs="Times New Roman"/>
          <w:lang w:val="en-GB"/>
        </w:rPr>
        <w:t xml:space="preserve">2 and </w:t>
      </w:r>
      <w:r>
        <w:rPr>
          <w:rFonts w:ascii="Times New Roman" w:hAnsi="Times New Roman" w:cs="Times New Roman"/>
          <w:lang w:val="en-GB"/>
        </w:rPr>
        <w:t>RU</w:t>
      </w:r>
      <w:r w:rsidRPr="00085FA6">
        <w:rPr>
          <w:rFonts w:ascii="Times New Roman" w:hAnsi="Times New Roman" w:cs="Times New Roman"/>
          <w:lang w:val="en-GB"/>
        </w:rPr>
        <w:t>3.</w:t>
      </w:r>
      <w:r w:rsidRPr="00085FA6">
        <w:rPr>
          <w:rStyle w:val="FootnoteReference"/>
          <w:rFonts w:ascii="Times New Roman" w:hAnsi="Times New Roman" w:cs="Times New Roman"/>
          <w:lang w:val="en-GB"/>
        </w:rPr>
        <w:footnoteReference w:id="5"/>
      </w:r>
      <w:r w:rsidRPr="00085FA6">
        <w:rPr>
          <w:rFonts w:ascii="Times New Roman" w:hAnsi="Times New Roman" w:cs="Times New Roman"/>
          <w:lang w:val="en-GB"/>
        </w:rPr>
        <w:t xml:space="preserve"> </w:t>
      </w:r>
    </w:p>
    <w:p w:rsidR="00773556" w:rsidRDefault="00773556" w:rsidP="00773556">
      <w:pPr>
        <w:jc w:val="both"/>
        <w:rPr>
          <w:rFonts w:ascii="Times New Roman" w:hAnsi="Times New Roman" w:cs="Times New Roman"/>
          <w:lang w:val="en-GB"/>
        </w:rPr>
      </w:pPr>
      <w:r w:rsidRPr="00085FA6">
        <w:rPr>
          <w:rFonts w:ascii="Times New Roman" w:hAnsi="Times New Roman" w:cs="Times New Roman"/>
          <w:lang w:val="en-GB"/>
        </w:rPr>
        <w:t xml:space="preserve">Compared to other energy sources, Russia has a very low consumption of </w:t>
      </w:r>
      <w:r w:rsidRPr="00C935C9">
        <w:rPr>
          <w:rFonts w:ascii="Times New Roman" w:hAnsi="Times New Roman" w:cs="Times New Roman"/>
          <w:i/>
          <w:lang w:val="en-GB"/>
        </w:rPr>
        <w:t>biomass</w:t>
      </w:r>
      <w:r w:rsidRPr="00085FA6">
        <w:rPr>
          <w:rFonts w:ascii="Times New Roman" w:hAnsi="Times New Roman" w:cs="Times New Roman"/>
          <w:lang w:val="en-GB"/>
        </w:rPr>
        <w:t xml:space="preserve"> in the base year</w:t>
      </w:r>
      <w:r>
        <w:rPr>
          <w:rFonts w:ascii="Times New Roman" w:hAnsi="Times New Roman" w:cs="Times New Roman"/>
          <w:lang w:val="en-GB"/>
        </w:rPr>
        <w:t xml:space="preserve"> according to the IEA</w:t>
      </w:r>
      <w:r w:rsidRPr="00085FA6">
        <w:rPr>
          <w:rFonts w:ascii="Times New Roman" w:hAnsi="Times New Roman" w:cs="Times New Roman"/>
          <w:lang w:val="en-GB"/>
        </w:rPr>
        <w:t xml:space="preserve">. We have no data on how the consumption is distributed between the regions, so we assume that it is based on population for all sectors. Russia has no consumption of </w:t>
      </w:r>
      <w:r w:rsidRPr="00C935C9">
        <w:rPr>
          <w:rFonts w:ascii="Times New Roman" w:hAnsi="Times New Roman" w:cs="Times New Roman"/>
          <w:i/>
          <w:lang w:val="en-GB"/>
        </w:rPr>
        <w:t>biofuels</w:t>
      </w:r>
      <w:r w:rsidRPr="00085FA6">
        <w:rPr>
          <w:rFonts w:ascii="Times New Roman" w:hAnsi="Times New Roman" w:cs="Times New Roman"/>
          <w:lang w:val="en-GB"/>
        </w:rPr>
        <w:t xml:space="preserve"> in the base year, and we have assumed that this is also the case in future years.  </w:t>
      </w:r>
    </w:p>
    <w:p w:rsidR="00773556" w:rsidRDefault="00773556" w:rsidP="00773556">
      <w:pPr>
        <w:jc w:val="both"/>
        <w:rPr>
          <w:rFonts w:ascii="Times New Roman" w:hAnsi="Times New Roman" w:cs="Times New Roman"/>
          <w:lang w:val="en-GB"/>
        </w:rPr>
      </w:pPr>
      <w:r>
        <w:rPr>
          <w:rFonts w:ascii="Times New Roman" w:hAnsi="Times New Roman" w:cs="Times New Roman"/>
          <w:lang w:val="en-GB"/>
        </w:rPr>
        <w:t xml:space="preserve">Consumption of </w:t>
      </w:r>
      <w:r w:rsidRPr="008A4E66">
        <w:rPr>
          <w:rFonts w:ascii="Times New Roman" w:hAnsi="Times New Roman" w:cs="Times New Roman"/>
          <w:i/>
          <w:lang w:val="en-GB"/>
        </w:rPr>
        <w:t>heat</w:t>
      </w:r>
      <w:r>
        <w:rPr>
          <w:rFonts w:ascii="Times New Roman" w:hAnsi="Times New Roman" w:cs="Times New Roman"/>
          <w:lang w:val="en-GB"/>
        </w:rPr>
        <w:t xml:space="preserve"> is converted to electricity equivalents and added to the electricity demand in the same way as for the other model countries. IEA Extended Energy Balances has detailed data for heat consumption by sector for Russia. To allocate this to the three regions production shares from APBE (2010) has been used. It seems reasonable to assume that the district heating system lies within the federal districts; i.e. the heat is consumed in the region it is produced. This is supported by how Russia has a large share of combined heat and power plants (CHP) and how the Russian electricity grid consists of six regional power systems operating in parallel (</w:t>
      </w:r>
      <w:proofErr w:type="spellStart"/>
      <w:r>
        <w:rPr>
          <w:rFonts w:ascii="Times New Roman" w:hAnsi="Times New Roman" w:cs="Times New Roman"/>
          <w:lang w:val="en-GB"/>
        </w:rPr>
        <w:t>Abdurofikov</w:t>
      </w:r>
      <w:proofErr w:type="spellEnd"/>
      <w:r>
        <w:rPr>
          <w:rFonts w:ascii="Times New Roman" w:hAnsi="Times New Roman" w:cs="Times New Roman"/>
          <w:lang w:val="en-GB"/>
        </w:rPr>
        <w:t xml:space="preserve"> 2009).</w:t>
      </w:r>
      <w:r>
        <w:rPr>
          <w:rStyle w:val="FootnoteReference"/>
          <w:rFonts w:ascii="Times New Roman" w:hAnsi="Times New Roman" w:cs="Times New Roman"/>
          <w:lang w:val="en-GB"/>
        </w:rPr>
        <w:footnoteReference w:id="6"/>
      </w:r>
      <w:r>
        <w:rPr>
          <w:rFonts w:ascii="Times New Roman" w:hAnsi="Times New Roman" w:cs="Times New Roman"/>
          <w:lang w:val="en-GB"/>
        </w:rPr>
        <w:t xml:space="preserve"> </w:t>
      </w:r>
    </w:p>
    <w:p w:rsidR="00773556" w:rsidRPr="00C27C5B" w:rsidRDefault="00773556" w:rsidP="00773556">
      <w:p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Table 13 </w:t>
      </w:r>
      <w:r w:rsidRPr="00C27C5B">
        <w:rPr>
          <w:rFonts w:ascii="Times New Roman" w:hAnsi="Times New Roman" w:cs="Times New Roman"/>
          <w:b/>
          <w:sz w:val="20"/>
          <w:szCs w:val="20"/>
          <w:lang w:val="en-US"/>
        </w:rPr>
        <w:t xml:space="preserve">Consumption of energy in the base year (2009) in RU1 </w:t>
      </w:r>
    </w:p>
    <w:tbl>
      <w:tblPr>
        <w:tblW w:w="7812" w:type="dxa"/>
        <w:tblInd w:w="55" w:type="dxa"/>
        <w:tblCellMar>
          <w:left w:w="70" w:type="dxa"/>
          <w:right w:w="70" w:type="dxa"/>
        </w:tblCellMar>
        <w:tblLook w:val="04A0" w:firstRow="1" w:lastRow="0" w:firstColumn="1" w:lastColumn="0" w:noHBand="0" w:noVBand="1"/>
      </w:tblPr>
      <w:tblGrid>
        <w:gridCol w:w="1291"/>
        <w:gridCol w:w="616"/>
        <w:gridCol w:w="1085"/>
        <w:gridCol w:w="992"/>
        <w:gridCol w:w="993"/>
        <w:gridCol w:w="992"/>
        <w:gridCol w:w="992"/>
        <w:gridCol w:w="851"/>
      </w:tblGrid>
      <w:tr w:rsidR="00773556" w:rsidRPr="00C27C5B" w:rsidTr="00A8093A">
        <w:trPr>
          <w:trHeight w:val="300"/>
        </w:trPr>
        <w:tc>
          <w:tcPr>
            <w:tcW w:w="1291"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lang w:val="en-US"/>
              </w:rPr>
            </w:pPr>
          </w:p>
        </w:tc>
        <w:tc>
          <w:tcPr>
            <w:tcW w:w="616" w:type="dxa"/>
            <w:tcBorders>
              <w:top w:val="single" w:sz="4" w:space="0" w:color="auto"/>
              <w:left w:val="nil"/>
              <w:bottom w:val="single" w:sz="4" w:space="0" w:color="auto"/>
              <w:right w:val="nil"/>
            </w:tcBorders>
            <w:vAlign w:val="bottom"/>
          </w:tcPr>
          <w:p w:rsidR="00773556" w:rsidRPr="008906F9" w:rsidRDefault="00773556" w:rsidP="00A8093A">
            <w:pPr>
              <w:spacing w:after="0" w:line="240" w:lineRule="auto"/>
              <w:rPr>
                <w:rFonts w:ascii="Times New Roman" w:eastAsia="Times New Roman" w:hAnsi="Times New Roman" w:cs="Times New Roman"/>
                <w:color w:val="000000"/>
                <w:sz w:val="20"/>
                <w:szCs w:val="20"/>
                <w:lang w:val="en-US"/>
              </w:rPr>
            </w:pPr>
          </w:p>
        </w:tc>
        <w:tc>
          <w:tcPr>
            <w:tcW w:w="1085"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H</w:t>
            </w:r>
            <w:r w:rsidRPr="00E21D5E">
              <w:rPr>
                <w:rFonts w:ascii="Times New Roman" w:eastAsia="Times New Roman" w:hAnsi="Times New Roman" w:cs="Times New Roman"/>
                <w:color w:val="000000"/>
                <w:sz w:val="20"/>
                <w:szCs w:val="20"/>
              </w:rPr>
              <w:t>ouseholds</w:t>
            </w:r>
          </w:p>
        </w:tc>
        <w:tc>
          <w:tcPr>
            <w:tcW w:w="992"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I</w:t>
            </w:r>
            <w:r w:rsidRPr="00E21D5E">
              <w:rPr>
                <w:rFonts w:ascii="Times New Roman" w:eastAsia="Times New Roman" w:hAnsi="Times New Roman" w:cs="Times New Roman"/>
                <w:color w:val="000000"/>
                <w:sz w:val="20"/>
                <w:szCs w:val="20"/>
              </w:rPr>
              <w:t>ndustry</w:t>
            </w:r>
          </w:p>
        </w:tc>
        <w:tc>
          <w:tcPr>
            <w:tcW w:w="993"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T</w:t>
            </w:r>
            <w:r w:rsidRPr="00E21D5E">
              <w:rPr>
                <w:rFonts w:ascii="Times New Roman" w:eastAsia="Times New Roman" w:hAnsi="Times New Roman" w:cs="Times New Roman"/>
                <w:color w:val="000000"/>
                <w:sz w:val="20"/>
                <w:szCs w:val="20"/>
              </w:rPr>
              <w:t>ransport</w:t>
            </w:r>
          </w:p>
        </w:tc>
        <w:tc>
          <w:tcPr>
            <w:tcW w:w="992"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Electricity</w:t>
            </w:r>
            <w:proofErr w:type="spellEnd"/>
            <w:r w:rsidRPr="00C27C5B">
              <w:rPr>
                <w:rFonts w:ascii="Times New Roman" w:eastAsia="Times New Roman" w:hAnsi="Times New Roman" w:cs="Times New Roman"/>
                <w:color w:val="000000"/>
                <w:sz w:val="20"/>
                <w:szCs w:val="20"/>
              </w:rPr>
              <w:t xml:space="preserve"> </w:t>
            </w:r>
            <w:r w:rsidRPr="00E21D5E">
              <w:rPr>
                <w:rFonts w:ascii="Times New Roman" w:eastAsia="Times New Roman" w:hAnsi="Times New Roman" w:cs="Times New Roman"/>
                <w:color w:val="000000"/>
                <w:sz w:val="20"/>
                <w:szCs w:val="20"/>
              </w:rPr>
              <w:t>producers</w:t>
            </w:r>
          </w:p>
        </w:tc>
        <w:tc>
          <w:tcPr>
            <w:tcW w:w="992"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S</w:t>
            </w:r>
            <w:r w:rsidRPr="00E21D5E">
              <w:rPr>
                <w:rFonts w:ascii="Times New Roman" w:eastAsia="Times New Roman" w:hAnsi="Times New Roman" w:cs="Times New Roman"/>
                <w:color w:val="000000"/>
                <w:sz w:val="20"/>
                <w:szCs w:val="20"/>
              </w:rPr>
              <w:t>ervices</w:t>
            </w:r>
          </w:p>
        </w:tc>
        <w:tc>
          <w:tcPr>
            <w:tcW w:w="851"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Total</w:t>
            </w:r>
          </w:p>
        </w:tc>
      </w:tr>
      <w:tr w:rsidR="00773556" w:rsidRPr="00C27C5B" w:rsidTr="00A8093A">
        <w:trPr>
          <w:trHeight w:val="300"/>
        </w:trPr>
        <w:tc>
          <w:tcPr>
            <w:tcW w:w="1291"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E</w:t>
            </w:r>
            <w:r w:rsidRPr="00E21D5E">
              <w:rPr>
                <w:rFonts w:ascii="Times New Roman" w:eastAsia="Times New Roman" w:hAnsi="Times New Roman" w:cs="Times New Roman"/>
                <w:color w:val="000000"/>
                <w:sz w:val="20"/>
                <w:szCs w:val="20"/>
              </w:rPr>
              <w:t>lectricity</w:t>
            </w:r>
            <w:proofErr w:type="spellEnd"/>
          </w:p>
        </w:tc>
        <w:tc>
          <w:tcPr>
            <w:tcW w:w="616" w:type="dxa"/>
            <w:tcBorders>
              <w:top w:val="single" w:sz="4" w:space="0" w:color="auto"/>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TWh</w:t>
            </w:r>
            <w:proofErr w:type="spellEnd"/>
          </w:p>
        </w:tc>
        <w:tc>
          <w:tcPr>
            <w:tcW w:w="1085"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214.1</w:t>
            </w:r>
          </w:p>
        </w:tc>
        <w:tc>
          <w:tcPr>
            <w:tcW w:w="992"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346.9</w:t>
            </w:r>
          </w:p>
        </w:tc>
        <w:tc>
          <w:tcPr>
            <w:tcW w:w="993"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45.5</w:t>
            </w:r>
          </w:p>
        </w:tc>
        <w:tc>
          <w:tcPr>
            <w:tcW w:w="992"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2.7</w:t>
            </w:r>
          </w:p>
        </w:tc>
        <w:tc>
          <w:tcPr>
            <w:tcW w:w="992"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150.4</w:t>
            </w:r>
          </w:p>
        </w:tc>
        <w:tc>
          <w:tcPr>
            <w:tcW w:w="851"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759.6</w:t>
            </w:r>
          </w:p>
        </w:tc>
      </w:tr>
      <w:tr w:rsidR="00773556" w:rsidRPr="00C27C5B" w:rsidTr="00A8093A">
        <w:trPr>
          <w:trHeight w:val="300"/>
        </w:trPr>
        <w:tc>
          <w:tcPr>
            <w:tcW w:w="129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Natural g</w:t>
            </w:r>
            <w:r w:rsidRPr="00E21D5E">
              <w:rPr>
                <w:rFonts w:ascii="Times New Roman" w:eastAsia="Times New Roman" w:hAnsi="Times New Roman" w:cs="Times New Roman"/>
                <w:color w:val="000000"/>
                <w:sz w:val="20"/>
                <w:szCs w:val="20"/>
              </w:rPr>
              <w:t>as</w:t>
            </w:r>
          </w:p>
        </w:tc>
        <w:tc>
          <w:tcPr>
            <w:tcW w:w="616" w:type="dxa"/>
            <w:tcBorders>
              <w:top w:val="nil"/>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39.8</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41.1</w:t>
            </w:r>
          </w:p>
        </w:tc>
        <w:tc>
          <w:tcPr>
            <w:tcW w:w="993"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147.7</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2.2</w:t>
            </w:r>
          </w:p>
        </w:tc>
        <w:tc>
          <w:tcPr>
            <w:tcW w:w="85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230.8</w:t>
            </w:r>
          </w:p>
        </w:tc>
      </w:tr>
      <w:tr w:rsidR="00773556" w:rsidRPr="00C27C5B" w:rsidTr="00A8093A">
        <w:trPr>
          <w:trHeight w:val="300"/>
        </w:trPr>
        <w:tc>
          <w:tcPr>
            <w:tcW w:w="129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S</w:t>
            </w:r>
            <w:r w:rsidRPr="00E21D5E">
              <w:rPr>
                <w:rFonts w:ascii="Times New Roman" w:eastAsia="Times New Roman" w:hAnsi="Times New Roman" w:cs="Times New Roman"/>
                <w:color w:val="000000"/>
                <w:sz w:val="20"/>
                <w:szCs w:val="20"/>
              </w:rPr>
              <w:t>team</w:t>
            </w:r>
            <w:r w:rsidRPr="00C27C5B">
              <w:rPr>
                <w:rFonts w:ascii="Times New Roman" w:eastAsia="Times New Roman" w:hAnsi="Times New Roman" w:cs="Times New Roman"/>
                <w:color w:val="000000"/>
                <w:sz w:val="20"/>
                <w:szCs w:val="20"/>
              </w:rPr>
              <w:t xml:space="preserve"> </w:t>
            </w:r>
            <w:proofErr w:type="spellStart"/>
            <w:r w:rsidRPr="00E21D5E">
              <w:rPr>
                <w:rFonts w:ascii="Times New Roman" w:eastAsia="Times New Roman" w:hAnsi="Times New Roman" w:cs="Times New Roman"/>
                <w:color w:val="000000"/>
                <w:sz w:val="20"/>
                <w:szCs w:val="20"/>
              </w:rPr>
              <w:t>coal</w:t>
            </w:r>
            <w:proofErr w:type="spellEnd"/>
          </w:p>
        </w:tc>
        <w:tc>
          <w:tcPr>
            <w:tcW w:w="616" w:type="dxa"/>
            <w:tcBorders>
              <w:top w:val="nil"/>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1.3</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5.3</w:t>
            </w:r>
          </w:p>
        </w:tc>
        <w:tc>
          <w:tcPr>
            <w:tcW w:w="993"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4.6</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1.6</w:t>
            </w:r>
          </w:p>
        </w:tc>
        <w:tc>
          <w:tcPr>
            <w:tcW w:w="85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12.9</w:t>
            </w:r>
          </w:p>
        </w:tc>
      </w:tr>
      <w:tr w:rsidR="00773556" w:rsidRPr="00C27C5B" w:rsidTr="00A8093A">
        <w:trPr>
          <w:trHeight w:val="300"/>
        </w:trPr>
        <w:tc>
          <w:tcPr>
            <w:tcW w:w="129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C</w:t>
            </w:r>
            <w:r w:rsidRPr="00E21D5E">
              <w:rPr>
                <w:rFonts w:ascii="Times New Roman" w:eastAsia="Times New Roman" w:hAnsi="Times New Roman" w:cs="Times New Roman"/>
                <w:color w:val="000000"/>
                <w:sz w:val="20"/>
                <w:szCs w:val="20"/>
              </w:rPr>
              <w:t>oking</w:t>
            </w:r>
            <w:proofErr w:type="spellEnd"/>
            <w:r w:rsidRPr="00C27C5B">
              <w:rPr>
                <w:rFonts w:ascii="Times New Roman" w:eastAsia="Times New Roman" w:hAnsi="Times New Roman" w:cs="Times New Roman"/>
                <w:color w:val="000000"/>
                <w:sz w:val="20"/>
                <w:szCs w:val="20"/>
              </w:rPr>
              <w:t xml:space="preserve"> </w:t>
            </w:r>
            <w:proofErr w:type="spellStart"/>
            <w:r w:rsidRPr="00E21D5E">
              <w:rPr>
                <w:rFonts w:ascii="Times New Roman" w:eastAsia="Times New Roman" w:hAnsi="Times New Roman" w:cs="Times New Roman"/>
                <w:color w:val="000000"/>
                <w:sz w:val="20"/>
                <w:szCs w:val="20"/>
              </w:rPr>
              <w:t>coal</w:t>
            </w:r>
            <w:proofErr w:type="spellEnd"/>
          </w:p>
        </w:tc>
        <w:tc>
          <w:tcPr>
            <w:tcW w:w="616" w:type="dxa"/>
            <w:tcBorders>
              <w:top w:val="nil"/>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15.5</w:t>
            </w:r>
          </w:p>
        </w:tc>
        <w:tc>
          <w:tcPr>
            <w:tcW w:w="993"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15.5</w:t>
            </w:r>
          </w:p>
        </w:tc>
      </w:tr>
      <w:tr w:rsidR="00773556" w:rsidRPr="00C27C5B" w:rsidTr="00A8093A">
        <w:trPr>
          <w:trHeight w:val="300"/>
        </w:trPr>
        <w:tc>
          <w:tcPr>
            <w:tcW w:w="129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L</w:t>
            </w:r>
            <w:r w:rsidRPr="00E21D5E">
              <w:rPr>
                <w:rFonts w:ascii="Times New Roman" w:eastAsia="Times New Roman" w:hAnsi="Times New Roman" w:cs="Times New Roman"/>
                <w:color w:val="000000"/>
                <w:sz w:val="20"/>
                <w:szCs w:val="20"/>
              </w:rPr>
              <w:t>ignite</w:t>
            </w:r>
            <w:proofErr w:type="spellEnd"/>
          </w:p>
        </w:tc>
        <w:tc>
          <w:tcPr>
            <w:tcW w:w="616" w:type="dxa"/>
            <w:tcBorders>
              <w:top w:val="nil"/>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0.1</w:t>
            </w:r>
            <w:proofErr w:type="gramEnd"/>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0.1</w:t>
            </w:r>
            <w:proofErr w:type="gramEnd"/>
          </w:p>
        </w:tc>
        <w:tc>
          <w:tcPr>
            <w:tcW w:w="993"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3.0</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0.0</w:t>
            </w:r>
            <w:proofErr w:type="gramEnd"/>
          </w:p>
        </w:tc>
        <w:tc>
          <w:tcPr>
            <w:tcW w:w="85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3.2</w:t>
            </w:r>
          </w:p>
        </w:tc>
      </w:tr>
      <w:tr w:rsidR="00773556" w:rsidRPr="00C27C5B" w:rsidTr="00A8093A">
        <w:trPr>
          <w:trHeight w:val="300"/>
        </w:trPr>
        <w:tc>
          <w:tcPr>
            <w:tcW w:w="129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O</w:t>
            </w:r>
            <w:r w:rsidRPr="00E21D5E">
              <w:rPr>
                <w:rFonts w:ascii="Times New Roman" w:eastAsia="Times New Roman" w:hAnsi="Times New Roman" w:cs="Times New Roman"/>
                <w:color w:val="000000"/>
                <w:sz w:val="20"/>
                <w:szCs w:val="20"/>
              </w:rPr>
              <w:t>il</w:t>
            </w:r>
          </w:p>
        </w:tc>
        <w:tc>
          <w:tcPr>
            <w:tcW w:w="616" w:type="dxa"/>
            <w:tcBorders>
              <w:top w:val="nil"/>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3.3</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20.4</w:t>
            </w:r>
          </w:p>
        </w:tc>
        <w:tc>
          <w:tcPr>
            <w:tcW w:w="993"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44.8</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8.9</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1.2</w:t>
            </w:r>
          </w:p>
        </w:tc>
        <w:tc>
          <w:tcPr>
            <w:tcW w:w="85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78.7</w:t>
            </w:r>
          </w:p>
        </w:tc>
      </w:tr>
      <w:tr w:rsidR="00773556" w:rsidRPr="00C27C5B" w:rsidTr="00A8093A">
        <w:trPr>
          <w:trHeight w:val="300"/>
        </w:trPr>
        <w:tc>
          <w:tcPr>
            <w:tcW w:w="1291" w:type="dxa"/>
            <w:tcBorders>
              <w:top w:val="nil"/>
              <w:left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B</w:t>
            </w:r>
            <w:r w:rsidRPr="00E21D5E">
              <w:rPr>
                <w:rFonts w:ascii="Times New Roman" w:eastAsia="Times New Roman" w:hAnsi="Times New Roman" w:cs="Times New Roman"/>
                <w:color w:val="000000"/>
                <w:sz w:val="20"/>
                <w:szCs w:val="20"/>
              </w:rPr>
              <w:t>iofuel</w:t>
            </w:r>
            <w:proofErr w:type="spellEnd"/>
          </w:p>
        </w:tc>
        <w:tc>
          <w:tcPr>
            <w:tcW w:w="616" w:type="dxa"/>
            <w:tcBorders>
              <w:top w:val="nil"/>
              <w:left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3" w:type="dxa"/>
            <w:tcBorders>
              <w:top w:val="nil"/>
              <w:left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0.0</w:t>
            </w:r>
            <w:proofErr w:type="gramEnd"/>
          </w:p>
        </w:tc>
        <w:tc>
          <w:tcPr>
            <w:tcW w:w="992" w:type="dxa"/>
            <w:tcBorders>
              <w:top w:val="nil"/>
              <w:left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851" w:type="dxa"/>
            <w:tcBorders>
              <w:top w:val="nil"/>
              <w:left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proofErr w:type="gramStart"/>
            <w:r w:rsidRPr="00E21D5E">
              <w:rPr>
                <w:rFonts w:ascii="Times New Roman" w:eastAsia="Times New Roman" w:hAnsi="Times New Roman" w:cs="Times New Roman"/>
                <w:b/>
                <w:bCs/>
                <w:color w:val="000000"/>
                <w:sz w:val="20"/>
                <w:szCs w:val="20"/>
              </w:rPr>
              <w:t>0.0</w:t>
            </w:r>
            <w:proofErr w:type="gramEnd"/>
          </w:p>
        </w:tc>
      </w:tr>
      <w:tr w:rsidR="00773556" w:rsidRPr="00C27C5B" w:rsidTr="00A8093A">
        <w:trPr>
          <w:trHeight w:val="300"/>
        </w:trPr>
        <w:tc>
          <w:tcPr>
            <w:tcW w:w="1291"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B</w:t>
            </w:r>
            <w:r w:rsidRPr="00E21D5E">
              <w:rPr>
                <w:rFonts w:ascii="Times New Roman" w:eastAsia="Times New Roman" w:hAnsi="Times New Roman" w:cs="Times New Roman"/>
                <w:color w:val="000000"/>
                <w:sz w:val="20"/>
                <w:szCs w:val="20"/>
              </w:rPr>
              <w:t>iomass</w:t>
            </w:r>
            <w:proofErr w:type="spellEnd"/>
          </w:p>
        </w:tc>
        <w:tc>
          <w:tcPr>
            <w:tcW w:w="616" w:type="dxa"/>
            <w:tcBorders>
              <w:top w:val="nil"/>
              <w:left w:val="nil"/>
              <w:bottom w:val="single" w:sz="4" w:space="0" w:color="auto"/>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0.7</w:t>
            </w:r>
            <w:proofErr w:type="gramEnd"/>
          </w:p>
        </w:tc>
        <w:tc>
          <w:tcPr>
            <w:tcW w:w="992"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0.3</w:t>
            </w:r>
            <w:proofErr w:type="gramEnd"/>
          </w:p>
        </w:tc>
        <w:tc>
          <w:tcPr>
            <w:tcW w:w="993"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0.7</w:t>
            </w:r>
            <w:proofErr w:type="gramEnd"/>
          </w:p>
        </w:tc>
        <w:tc>
          <w:tcPr>
            <w:tcW w:w="992"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0.5</w:t>
            </w:r>
            <w:proofErr w:type="gramEnd"/>
          </w:p>
        </w:tc>
        <w:tc>
          <w:tcPr>
            <w:tcW w:w="851"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2.1</w:t>
            </w:r>
          </w:p>
        </w:tc>
      </w:tr>
    </w:tbl>
    <w:p w:rsidR="00773556" w:rsidRPr="00C27C5B" w:rsidRDefault="00773556" w:rsidP="00773556">
      <w:pPr>
        <w:rPr>
          <w:sz w:val="20"/>
          <w:szCs w:val="20"/>
        </w:rPr>
      </w:pPr>
    </w:p>
    <w:p w:rsidR="00773556" w:rsidRPr="00C27C5B" w:rsidRDefault="00773556" w:rsidP="00773556">
      <w:pPr>
        <w:rPr>
          <w:rFonts w:ascii="Times New Roman" w:hAnsi="Times New Roman" w:cs="Times New Roman"/>
          <w:b/>
          <w:sz w:val="20"/>
          <w:szCs w:val="20"/>
          <w:lang w:val="en-US"/>
        </w:rPr>
      </w:pPr>
      <w:r>
        <w:rPr>
          <w:rFonts w:ascii="Times New Roman" w:hAnsi="Times New Roman" w:cs="Times New Roman"/>
          <w:b/>
          <w:sz w:val="20"/>
          <w:szCs w:val="20"/>
          <w:lang w:val="en-US"/>
        </w:rPr>
        <w:t xml:space="preserve">Table 14 </w:t>
      </w:r>
      <w:r w:rsidRPr="00C27C5B">
        <w:rPr>
          <w:rFonts w:ascii="Times New Roman" w:hAnsi="Times New Roman" w:cs="Times New Roman"/>
          <w:b/>
          <w:sz w:val="20"/>
          <w:szCs w:val="20"/>
          <w:lang w:val="en-US"/>
        </w:rPr>
        <w:t xml:space="preserve">Consumption of energy in the base year (2009) in RU2 </w:t>
      </w:r>
    </w:p>
    <w:tbl>
      <w:tblPr>
        <w:tblW w:w="7812" w:type="dxa"/>
        <w:tblInd w:w="55" w:type="dxa"/>
        <w:tblCellMar>
          <w:left w:w="70" w:type="dxa"/>
          <w:right w:w="70" w:type="dxa"/>
        </w:tblCellMar>
        <w:tblLook w:val="04A0" w:firstRow="1" w:lastRow="0" w:firstColumn="1" w:lastColumn="0" w:noHBand="0" w:noVBand="1"/>
      </w:tblPr>
      <w:tblGrid>
        <w:gridCol w:w="1291"/>
        <w:gridCol w:w="616"/>
        <w:gridCol w:w="1085"/>
        <w:gridCol w:w="992"/>
        <w:gridCol w:w="993"/>
        <w:gridCol w:w="992"/>
        <w:gridCol w:w="992"/>
        <w:gridCol w:w="851"/>
      </w:tblGrid>
      <w:tr w:rsidR="00773556" w:rsidRPr="00C27C5B" w:rsidTr="00A8093A">
        <w:trPr>
          <w:trHeight w:val="300"/>
        </w:trPr>
        <w:tc>
          <w:tcPr>
            <w:tcW w:w="1291" w:type="dxa"/>
            <w:tcBorders>
              <w:top w:val="single" w:sz="4" w:space="0" w:color="auto"/>
              <w:left w:val="nil"/>
              <w:bottom w:val="single" w:sz="4" w:space="0" w:color="auto"/>
              <w:right w:val="nil"/>
            </w:tcBorders>
            <w:shd w:val="clear" w:color="auto" w:fill="auto"/>
            <w:noWrap/>
            <w:vAlign w:val="bottom"/>
            <w:hideMark/>
          </w:tcPr>
          <w:p w:rsidR="00773556" w:rsidRPr="008906F9" w:rsidRDefault="00773556" w:rsidP="00A8093A">
            <w:pPr>
              <w:spacing w:after="0" w:line="240" w:lineRule="auto"/>
              <w:rPr>
                <w:rFonts w:ascii="Calibri" w:eastAsia="Times New Roman" w:hAnsi="Calibri" w:cs="Times New Roman"/>
                <w:color w:val="000000"/>
                <w:sz w:val="20"/>
                <w:szCs w:val="20"/>
                <w:lang w:val="en-US"/>
              </w:rPr>
            </w:pPr>
          </w:p>
        </w:tc>
        <w:tc>
          <w:tcPr>
            <w:tcW w:w="616" w:type="dxa"/>
            <w:tcBorders>
              <w:top w:val="single" w:sz="4" w:space="0" w:color="auto"/>
              <w:left w:val="nil"/>
              <w:bottom w:val="single" w:sz="4" w:space="0" w:color="auto"/>
              <w:right w:val="nil"/>
            </w:tcBorders>
          </w:tcPr>
          <w:p w:rsidR="00773556" w:rsidRPr="008906F9" w:rsidRDefault="00773556" w:rsidP="00A8093A">
            <w:pPr>
              <w:spacing w:after="0" w:line="240" w:lineRule="auto"/>
              <w:jc w:val="right"/>
              <w:rPr>
                <w:rFonts w:ascii="Times New Roman" w:eastAsia="Times New Roman" w:hAnsi="Times New Roman" w:cs="Times New Roman"/>
                <w:color w:val="000000"/>
                <w:sz w:val="20"/>
                <w:szCs w:val="20"/>
                <w:lang w:val="en-US"/>
              </w:rPr>
            </w:pPr>
          </w:p>
        </w:tc>
        <w:tc>
          <w:tcPr>
            <w:tcW w:w="1085"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H</w:t>
            </w:r>
            <w:r w:rsidRPr="00E21D5E">
              <w:rPr>
                <w:rFonts w:ascii="Times New Roman" w:eastAsia="Times New Roman" w:hAnsi="Times New Roman" w:cs="Times New Roman"/>
                <w:color w:val="000000"/>
                <w:sz w:val="20"/>
                <w:szCs w:val="20"/>
              </w:rPr>
              <w:t>ouseholds</w:t>
            </w:r>
          </w:p>
        </w:tc>
        <w:tc>
          <w:tcPr>
            <w:tcW w:w="992"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I</w:t>
            </w:r>
            <w:r w:rsidRPr="00E21D5E">
              <w:rPr>
                <w:rFonts w:ascii="Times New Roman" w:eastAsia="Times New Roman" w:hAnsi="Times New Roman" w:cs="Times New Roman"/>
                <w:color w:val="000000"/>
                <w:sz w:val="20"/>
                <w:szCs w:val="20"/>
              </w:rPr>
              <w:t>ndustry</w:t>
            </w:r>
          </w:p>
        </w:tc>
        <w:tc>
          <w:tcPr>
            <w:tcW w:w="993"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T</w:t>
            </w:r>
            <w:r w:rsidRPr="00E21D5E">
              <w:rPr>
                <w:rFonts w:ascii="Times New Roman" w:eastAsia="Times New Roman" w:hAnsi="Times New Roman" w:cs="Times New Roman"/>
                <w:color w:val="000000"/>
                <w:sz w:val="20"/>
                <w:szCs w:val="20"/>
              </w:rPr>
              <w:t>ransport</w:t>
            </w:r>
          </w:p>
        </w:tc>
        <w:tc>
          <w:tcPr>
            <w:tcW w:w="992"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Electricity</w:t>
            </w:r>
            <w:proofErr w:type="spellEnd"/>
            <w:r w:rsidRPr="00C27C5B">
              <w:rPr>
                <w:rFonts w:ascii="Times New Roman" w:eastAsia="Times New Roman" w:hAnsi="Times New Roman" w:cs="Times New Roman"/>
                <w:color w:val="000000"/>
                <w:sz w:val="20"/>
                <w:szCs w:val="20"/>
              </w:rPr>
              <w:t xml:space="preserve"> </w:t>
            </w:r>
            <w:r w:rsidRPr="00E21D5E">
              <w:rPr>
                <w:rFonts w:ascii="Times New Roman" w:eastAsia="Times New Roman" w:hAnsi="Times New Roman" w:cs="Times New Roman"/>
                <w:color w:val="000000"/>
                <w:sz w:val="20"/>
                <w:szCs w:val="20"/>
              </w:rPr>
              <w:t>producers</w:t>
            </w:r>
          </w:p>
        </w:tc>
        <w:tc>
          <w:tcPr>
            <w:tcW w:w="992"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S</w:t>
            </w:r>
            <w:r w:rsidRPr="00E21D5E">
              <w:rPr>
                <w:rFonts w:ascii="Times New Roman" w:eastAsia="Times New Roman" w:hAnsi="Times New Roman" w:cs="Times New Roman"/>
                <w:color w:val="000000"/>
                <w:sz w:val="20"/>
                <w:szCs w:val="20"/>
              </w:rPr>
              <w:t>ervices</w:t>
            </w:r>
          </w:p>
        </w:tc>
        <w:tc>
          <w:tcPr>
            <w:tcW w:w="851"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Total</w:t>
            </w:r>
          </w:p>
        </w:tc>
      </w:tr>
      <w:tr w:rsidR="00773556" w:rsidRPr="00E21D5E" w:rsidTr="00A8093A">
        <w:trPr>
          <w:trHeight w:val="300"/>
        </w:trPr>
        <w:tc>
          <w:tcPr>
            <w:tcW w:w="1291"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E</w:t>
            </w:r>
            <w:r w:rsidRPr="00E21D5E">
              <w:rPr>
                <w:rFonts w:ascii="Times New Roman" w:eastAsia="Times New Roman" w:hAnsi="Times New Roman" w:cs="Times New Roman"/>
                <w:color w:val="000000"/>
                <w:sz w:val="20"/>
                <w:szCs w:val="20"/>
              </w:rPr>
              <w:t>lectricity</w:t>
            </w:r>
            <w:proofErr w:type="spellEnd"/>
          </w:p>
        </w:tc>
        <w:tc>
          <w:tcPr>
            <w:tcW w:w="616" w:type="dxa"/>
            <w:tcBorders>
              <w:top w:val="single" w:sz="4" w:space="0" w:color="auto"/>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TWh</w:t>
            </w:r>
            <w:proofErr w:type="spellEnd"/>
          </w:p>
        </w:tc>
        <w:tc>
          <w:tcPr>
            <w:tcW w:w="1085"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37.5</w:t>
            </w:r>
          </w:p>
        </w:tc>
        <w:tc>
          <w:tcPr>
            <w:tcW w:w="992"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127.0</w:t>
            </w:r>
          </w:p>
        </w:tc>
        <w:tc>
          <w:tcPr>
            <w:tcW w:w="993"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15.0</w:t>
            </w:r>
          </w:p>
        </w:tc>
        <w:tc>
          <w:tcPr>
            <w:tcW w:w="992"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24.2</w:t>
            </w:r>
          </w:p>
        </w:tc>
        <w:tc>
          <w:tcPr>
            <w:tcW w:w="851"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203.8</w:t>
            </w:r>
          </w:p>
        </w:tc>
      </w:tr>
      <w:tr w:rsidR="00773556" w:rsidRPr="00E21D5E" w:rsidTr="00A8093A">
        <w:trPr>
          <w:trHeight w:val="300"/>
        </w:trPr>
        <w:tc>
          <w:tcPr>
            <w:tcW w:w="129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Natural g</w:t>
            </w:r>
            <w:r w:rsidRPr="00E21D5E">
              <w:rPr>
                <w:rFonts w:ascii="Times New Roman" w:eastAsia="Times New Roman" w:hAnsi="Times New Roman" w:cs="Times New Roman"/>
                <w:color w:val="000000"/>
                <w:sz w:val="20"/>
                <w:szCs w:val="20"/>
              </w:rPr>
              <w:t>as</w:t>
            </w:r>
          </w:p>
        </w:tc>
        <w:tc>
          <w:tcPr>
            <w:tcW w:w="616" w:type="dxa"/>
            <w:tcBorders>
              <w:top w:val="nil"/>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1.5</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12.5</w:t>
            </w:r>
          </w:p>
        </w:tc>
        <w:tc>
          <w:tcPr>
            <w:tcW w:w="993"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45.5</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0.3</w:t>
            </w:r>
            <w:proofErr w:type="gramEnd"/>
          </w:p>
        </w:tc>
        <w:tc>
          <w:tcPr>
            <w:tcW w:w="85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59.9</w:t>
            </w:r>
          </w:p>
        </w:tc>
      </w:tr>
      <w:tr w:rsidR="00773556" w:rsidRPr="00E21D5E" w:rsidTr="00A8093A">
        <w:trPr>
          <w:trHeight w:val="300"/>
        </w:trPr>
        <w:tc>
          <w:tcPr>
            <w:tcW w:w="129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S</w:t>
            </w:r>
            <w:r w:rsidRPr="00E21D5E">
              <w:rPr>
                <w:rFonts w:ascii="Times New Roman" w:eastAsia="Times New Roman" w:hAnsi="Times New Roman" w:cs="Times New Roman"/>
                <w:color w:val="000000"/>
                <w:sz w:val="20"/>
                <w:szCs w:val="20"/>
              </w:rPr>
              <w:t>team</w:t>
            </w:r>
            <w:r w:rsidRPr="00C27C5B">
              <w:rPr>
                <w:rFonts w:ascii="Times New Roman" w:eastAsia="Times New Roman" w:hAnsi="Times New Roman" w:cs="Times New Roman"/>
                <w:color w:val="000000"/>
                <w:sz w:val="20"/>
                <w:szCs w:val="20"/>
              </w:rPr>
              <w:t xml:space="preserve"> </w:t>
            </w:r>
            <w:proofErr w:type="spellStart"/>
            <w:r w:rsidRPr="00E21D5E">
              <w:rPr>
                <w:rFonts w:ascii="Times New Roman" w:eastAsia="Times New Roman" w:hAnsi="Times New Roman" w:cs="Times New Roman"/>
                <w:color w:val="000000"/>
                <w:sz w:val="20"/>
                <w:szCs w:val="20"/>
              </w:rPr>
              <w:t>coal</w:t>
            </w:r>
            <w:proofErr w:type="spellEnd"/>
          </w:p>
        </w:tc>
        <w:tc>
          <w:tcPr>
            <w:tcW w:w="616" w:type="dxa"/>
            <w:tcBorders>
              <w:top w:val="nil"/>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0.2</w:t>
            </w:r>
            <w:proofErr w:type="gramEnd"/>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5.0</w:t>
            </w:r>
          </w:p>
        </w:tc>
        <w:tc>
          <w:tcPr>
            <w:tcW w:w="993"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6.9</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0.2</w:t>
            </w:r>
            <w:proofErr w:type="gramEnd"/>
          </w:p>
        </w:tc>
        <w:tc>
          <w:tcPr>
            <w:tcW w:w="85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12.2</w:t>
            </w:r>
          </w:p>
        </w:tc>
      </w:tr>
      <w:tr w:rsidR="00773556" w:rsidRPr="00E21D5E" w:rsidTr="00A8093A">
        <w:trPr>
          <w:trHeight w:val="300"/>
        </w:trPr>
        <w:tc>
          <w:tcPr>
            <w:tcW w:w="129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C</w:t>
            </w:r>
            <w:r w:rsidRPr="00E21D5E">
              <w:rPr>
                <w:rFonts w:ascii="Times New Roman" w:eastAsia="Times New Roman" w:hAnsi="Times New Roman" w:cs="Times New Roman"/>
                <w:color w:val="000000"/>
                <w:sz w:val="20"/>
                <w:szCs w:val="20"/>
              </w:rPr>
              <w:t>oking</w:t>
            </w:r>
            <w:proofErr w:type="spellEnd"/>
            <w:r w:rsidRPr="00C27C5B">
              <w:rPr>
                <w:rFonts w:ascii="Times New Roman" w:eastAsia="Times New Roman" w:hAnsi="Times New Roman" w:cs="Times New Roman"/>
                <w:color w:val="000000"/>
                <w:sz w:val="20"/>
                <w:szCs w:val="20"/>
              </w:rPr>
              <w:t xml:space="preserve"> </w:t>
            </w:r>
            <w:proofErr w:type="spellStart"/>
            <w:r w:rsidRPr="00E21D5E">
              <w:rPr>
                <w:rFonts w:ascii="Times New Roman" w:eastAsia="Times New Roman" w:hAnsi="Times New Roman" w:cs="Times New Roman"/>
                <w:color w:val="000000"/>
                <w:sz w:val="20"/>
                <w:szCs w:val="20"/>
              </w:rPr>
              <w:t>coal</w:t>
            </w:r>
            <w:proofErr w:type="spellEnd"/>
          </w:p>
        </w:tc>
        <w:tc>
          <w:tcPr>
            <w:tcW w:w="616" w:type="dxa"/>
            <w:tcBorders>
              <w:top w:val="nil"/>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11.9</w:t>
            </w:r>
          </w:p>
        </w:tc>
        <w:tc>
          <w:tcPr>
            <w:tcW w:w="993"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11.9</w:t>
            </w:r>
          </w:p>
        </w:tc>
      </w:tr>
      <w:tr w:rsidR="00773556" w:rsidRPr="00E21D5E" w:rsidTr="00A8093A">
        <w:trPr>
          <w:trHeight w:val="300"/>
        </w:trPr>
        <w:tc>
          <w:tcPr>
            <w:tcW w:w="129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L</w:t>
            </w:r>
            <w:r w:rsidRPr="00E21D5E">
              <w:rPr>
                <w:rFonts w:ascii="Times New Roman" w:eastAsia="Times New Roman" w:hAnsi="Times New Roman" w:cs="Times New Roman"/>
                <w:color w:val="000000"/>
                <w:sz w:val="20"/>
                <w:szCs w:val="20"/>
              </w:rPr>
              <w:t>ignite</w:t>
            </w:r>
            <w:proofErr w:type="spellEnd"/>
          </w:p>
        </w:tc>
        <w:tc>
          <w:tcPr>
            <w:tcW w:w="616" w:type="dxa"/>
            <w:tcBorders>
              <w:top w:val="nil"/>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0.0</w:t>
            </w:r>
            <w:proofErr w:type="gramEnd"/>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0.1</w:t>
            </w:r>
            <w:proofErr w:type="gramEnd"/>
          </w:p>
        </w:tc>
        <w:tc>
          <w:tcPr>
            <w:tcW w:w="993"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4.4</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0.0</w:t>
            </w:r>
            <w:proofErr w:type="gramEnd"/>
          </w:p>
        </w:tc>
        <w:tc>
          <w:tcPr>
            <w:tcW w:w="85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4.5</w:t>
            </w:r>
          </w:p>
        </w:tc>
      </w:tr>
      <w:tr w:rsidR="00773556" w:rsidRPr="00E21D5E" w:rsidTr="00A8093A">
        <w:trPr>
          <w:trHeight w:val="300"/>
        </w:trPr>
        <w:tc>
          <w:tcPr>
            <w:tcW w:w="129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O</w:t>
            </w:r>
            <w:r w:rsidRPr="00E21D5E">
              <w:rPr>
                <w:rFonts w:ascii="Times New Roman" w:eastAsia="Times New Roman" w:hAnsi="Times New Roman" w:cs="Times New Roman"/>
                <w:color w:val="000000"/>
                <w:sz w:val="20"/>
                <w:szCs w:val="20"/>
              </w:rPr>
              <w:t>il</w:t>
            </w:r>
          </w:p>
        </w:tc>
        <w:tc>
          <w:tcPr>
            <w:tcW w:w="616" w:type="dxa"/>
            <w:tcBorders>
              <w:top w:val="nil"/>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0.4</w:t>
            </w:r>
            <w:proofErr w:type="gramEnd"/>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20.3</w:t>
            </w:r>
          </w:p>
        </w:tc>
        <w:tc>
          <w:tcPr>
            <w:tcW w:w="993"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5.1</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0.4</w:t>
            </w:r>
            <w:proofErr w:type="gramEnd"/>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0.1</w:t>
            </w:r>
            <w:proofErr w:type="gramEnd"/>
          </w:p>
        </w:tc>
        <w:tc>
          <w:tcPr>
            <w:tcW w:w="85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26.4</w:t>
            </w:r>
          </w:p>
        </w:tc>
      </w:tr>
      <w:tr w:rsidR="00773556" w:rsidRPr="00E21D5E" w:rsidTr="00A8093A">
        <w:trPr>
          <w:trHeight w:val="300"/>
        </w:trPr>
        <w:tc>
          <w:tcPr>
            <w:tcW w:w="1291" w:type="dxa"/>
            <w:tcBorders>
              <w:top w:val="nil"/>
              <w:left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B</w:t>
            </w:r>
            <w:r w:rsidRPr="00E21D5E">
              <w:rPr>
                <w:rFonts w:ascii="Times New Roman" w:eastAsia="Times New Roman" w:hAnsi="Times New Roman" w:cs="Times New Roman"/>
                <w:color w:val="000000"/>
                <w:sz w:val="20"/>
                <w:szCs w:val="20"/>
              </w:rPr>
              <w:t>iofuel</w:t>
            </w:r>
            <w:proofErr w:type="spellEnd"/>
          </w:p>
        </w:tc>
        <w:tc>
          <w:tcPr>
            <w:tcW w:w="616" w:type="dxa"/>
            <w:tcBorders>
              <w:top w:val="nil"/>
              <w:left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3" w:type="dxa"/>
            <w:tcBorders>
              <w:top w:val="nil"/>
              <w:left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0.0</w:t>
            </w:r>
            <w:proofErr w:type="gramEnd"/>
          </w:p>
        </w:tc>
        <w:tc>
          <w:tcPr>
            <w:tcW w:w="992" w:type="dxa"/>
            <w:tcBorders>
              <w:top w:val="nil"/>
              <w:left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851" w:type="dxa"/>
            <w:tcBorders>
              <w:top w:val="nil"/>
              <w:left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proofErr w:type="gramStart"/>
            <w:r w:rsidRPr="00E21D5E">
              <w:rPr>
                <w:rFonts w:ascii="Times New Roman" w:eastAsia="Times New Roman" w:hAnsi="Times New Roman" w:cs="Times New Roman"/>
                <w:b/>
                <w:bCs/>
                <w:color w:val="000000"/>
                <w:sz w:val="20"/>
                <w:szCs w:val="20"/>
              </w:rPr>
              <w:t>0.0</w:t>
            </w:r>
            <w:proofErr w:type="gramEnd"/>
          </w:p>
        </w:tc>
      </w:tr>
      <w:tr w:rsidR="00773556" w:rsidRPr="00E21D5E" w:rsidTr="00A8093A">
        <w:trPr>
          <w:trHeight w:val="300"/>
        </w:trPr>
        <w:tc>
          <w:tcPr>
            <w:tcW w:w="1291"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B</w:t>
            </w:r>
            <w:r w:rsidRPr="00E21D5E">
              <w:rPr>
                <w:rFonts w:ascii="Times New Roman" w:eastAsia="Times New Roman" w:hAnsi="Times New Roman" w:cs="Times New Roman"/>
                <w:color w:val="000000"/>
                <w:sz w:val="20"/>
                <w:szCs w:val="20"/>
              </w:rPr>
              <w:t>iomass</w:t>
            </w:r>
            <w:proofErr w:type="spellEnd"/>
          </w:p>
        </w:tc>
        <w:tc>
          <w:tcPr>
            <w:tcW w:w="616" w:type="dxa"/>
            <w:tcBorders>
              <w:top w:val="nil"/>
              <w:left w:val="nil"/>
              <w:bottom w:val="single" w:sz="4" w:space="0" w:color="auto"/>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0.1</w:t>
            </w:r>
            <w:proofErr w:type="gramEnd"/>
          </w:p>
        </w:tc>
        <w:tc>
          <w:tcPr>
            <w:tcW w:w="992"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0.0</w:t>
            </w:r>
            <w:proofErr w:type="gramEnd"/>
          </w:p>
        </w:tc>
        <w:tc>
          <w:tcPr>
            <w:tcW w:w="993"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0.1</w:t>
            </w:r>
            <w:proofErr w:type="gramEnd"/>
          </w:p>
        </w:tc>
        <w:tc>
          <w:tcPr>
            <w:tcW w:w="992"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0.1</w:t>
            </w:r>
            <w:proofErr w:type="gramEnd"/>
          </w:p>
        </w:tc>
        <w:tc>
          <w:tcPr>
            <w:tcW w:w="851"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proofErr w:type="gramStart"/>
            <w:r w:rsidRPr="00E21D5E">
              <w:rPr>
                <w:rFonts w:ascii="Times New Roman" w:eastAsia="Times New Roman" w:hAnsi="Times New Roman" w:cs="Times New Roman"/>
                <w:b/>
                <w:bCs/>
                <w:color w:val="000000"/>
                <w:sz w:val="20"/>
                <w:szCs w:val="20"/>
              </w:rPr>
              <w:t>0.2</w:t>
            </w:r>
            <w:proofErr w:type="gramEnd"/>
          </w:p>
        </w:tc>
      </w:tr>
    </w:tbl>
    <w:p w:rsidR="00E45980" w:rsidRDefault="00E45980" w:rsidP="00773556">
      <w:pPr>
        <w:rPr>
          <w:rFonts w:ascii="Times New Roman" w:hAnsi="Times New Roman" w:cs="Times New Roman"/>
          <w:b/>
          <w:sz w:val="20"/>
          <w:szCs w:val="20"/>
          <w:lang w:val="en-US"/>
        </w:rPr>
      </w:pPr>
    </w:p>
    <w:p w:rsidR="00773556" w:rsidRPr="00C27C5B" w:rsidRDefault="00773556" w:rsidP="00773556">
      <w:pPr>
        <w:rPr>
          <w:rFonts w:ascii="Times New Roman" w:hAnsi="Times New Roman" w:cs="Times New Roman"/>
          <w:b/>
          <w:sz w:val="20"/>
          <w:szCs w:val="20"/>
          <w:lang w:val="en-US"/>
        </w:rPr>
      </w:pPr>
      <w:r>
        <w:rPr>
          <w:rFonts w:ascii="Times New Roman" w:hAnsi="Times New Roman" w:cs="Times New Roman"/>
          <w:b/>
          <w:sz w:val="20"/>
          <w:szCs w:val="20"/>
          <w:lang w:val="en-US"/>
        </w:rPr>
        <w:t xml:space="preserve">Table 15 </w:t>
      </w:r>
      <w:r w:rsidRPr="00C27C5B">
        <w:rPr>
          <w:rFonts w:ascii="Times New Roman" w:hAnsi="Times New Roman" w:cs="Times New Roman"/>
          <w:b/>
          <w:sz w:val="20"/>
          <w:szCs w:val="20"/>
          <w:lang w:val="en-US"/>
        </w:rPr>
        <w:t xml:space="preserve">Consumption of energy in the base year (2009) in RU3 </w:t>
      </w:r>
    </w:p>
    <w:tbl>
      <w:tblPr>
        <w:tblW w:w="7812" w:type="dxa"/>
        <w:tblInd w:w="55" w:type="dxa"/>
        <w:tblCellMar>
          <w:left w:w="70" w:type="dxa"/>
          <w:right w:w="70" w:type="dxa"/>
        </w:tblCellMar>
        <w:tblLook w:val="04A0" w:firstRow="1" w:lastRow="0" w:firstColumn="1" w:lastColumn="0" w:noHBand="0" w:noVBand="1"/>
      </w:tblPr>
      <w:tblGrid>
        <w:gridCol w:w="1291"/>
        <w:gridCol w:w="616"/>
        <w:gridCol w:w="1085"/>
        <w:gridCol w:w="992"/>
        <w:gridCol w:w="993"/>
        <w:gridCol w:w="992"/>
        <w:gridCol w:w="992"/>
        <w:gridCol w:w="851"/>
      </w:tblGrid>
      <w:tr w:rsidR="00773556" w:rsidRPr="00C27C5B" w:rsidTr="00A8093A">
        <w:trPr>
          <w:trHeight w:val="300"/>
        </w:trPr>
        <w:tc>
          <w:tcPr>
            <w:tcW w:w="1291"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rPr>
                <w:rFonts w:ascii="Calibri" w:eastAsia="Times New Roman" w:hAnsi="Calibri" w:cs="Times New Roman"/>
                <w:color w:val="000000"/>
                <w:sz w:val="20"/>
                <w:szCs w:val="20"/>
                <w:lang w:val="en-US"/>
              </w:rPr>
            </w:pPr>
          </w:p>
        </w:tc>
        <w:tc>
          <w:tcPr>
            <w:tcW w:w="616" w:type="dxa"/>
            <w:tcBorders>
              <w:top w:val="single" w:sz="4" w:space="0" w:color="auto"/>
              <w:left w:val="nil"/>
              <w:bottom w:val="single" w:sz="4" w:space="0" w:color="auto"/>
              <w:right w:val="nil"/>
            </w:tcBorders>
          </w:tcPr>
          <w:p w:rsidR="00773556" w:rsidRPr="008906F9" w:rsidRDefault="00773556" w:rsidP="00A8093A">
            <w:pPr>
              <w:spacing w:after="0" w:line="240" w:lineRule="auto"/>
              <w:jc w:val="right"/>
              <w:rPr>
                <w:rFonts w:ascii="Times New Roman" w:eastAsia="Times New Roman" w:hAnsi="Times New Roman" w:cs="Times New Roman"/>
                <w:color w:val="000000"/>
                <w:sz w:val="20"/>
                <w:szCs w:val="20"/>
                <w:lang w:val="en-US"/>
              </w:rPr>
            </w:pPr>
          </w:p>
        </w:tc>
        <w:tc>
          <w:tcPr>
            <w:tcW w:w="1085"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H</w:t>
            </w:r>
            <w:r w:rsidRPr="00E21D5E">
              <w:rPr>
                <w:rFonts w:ascii="Times New Roman" w:eastAsia="Times New Roman" w:hAnsi="Times New Roman" w:cs="Times New Roman"/>
                <w:color w:val="000000"/>
                <w:sz w:val="20"/>
                <w:szCs w:val="20"/>
              </w:rPr>
              <w:t>ouseholds</w:t>
            </w:r>
          </w:p>
        </w:tc>
        <w:tc>
          <w:tcPr>
            <w:tcW w:w="992"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I</w:t>
            </w:r>
            <w:r w:rsidRPr="00E21D5E">
              <w:rPr>
                <w:rFonts w:ascii="Times New Roman" w:eastAsia="Times New Roman" w:hAnsi="Times New Roman" w:cs="Times New Roman"/>
                <w:color w:val="000000"/>
                <w:sz w:val="20"/>
                <w:szCs w:val="20"/>
              </w:rPr>
              <w:t>ndustry</w:t>
            </w:r>
          </w:p>
        </w:tc>
        <w:tc>
          <w:tcPr>
            <w:tcW w:w="993"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T</w:t>
            </w:r>
            <w:r w:rsidRPr="00E21D5E">
              <w:rPr>
                <w:rFonts w:ascii="Times New Roman" w:eastAsia="Times New Roman" w:hAnsi="Times New Roman" w:cs="Times New Roman"/>
                <w:color w:val="000000"/>
                <w:sz w:val="20"/>
                <w:szCs w:val="20"/>
              </w:rPr>
              <w:t>ransport</w:t>
            </w:r>
          </w:p>
        </w:tc>
        <w:tc>
          <w:tcPr>
            <w:tcW w:w="992"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Electricity</w:t>
            </w:r>
            <w:proofErr w:type="spellEnd"/>
            <w:r w:rsidRPr="00C27C5B">
              <w:rPr>
                <w:rFonts w:ascii="Times New Roman" w:eastAsia="Times New Roman" w:hAnsi="Times New Roman" w:cs="Times New Roman"/>
                <w:color w:val="000000"/>
                <w:sz w:val="20"/>
                <w:szCs w:val="20"/>
              </w:rPr>
              <w:t xml:space="preserve"> </w:t>
            </w:r>
            <w:r w:rsidRPr="00E21D5E">
              <w:rPr>
                <w:rFonts w:ascii="Times New Roman" w:eastAsia="Times New Roman" w:hAnsi="Times New Roman" w:cs="Times New Roman"/>
                <w:color w:val="000000"/>
                <w:sz w:val="20"/>
                <w:szCs w:val="20"/>
              </w:rPr>
              <w:t>producers</w:t>
            </w:r>
          </w:p>
        </w:tc>
        <w:tc>
          <w:tcPr>
            <w:tcW w:w="992"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S</w:t>
            </w:r>
            <w:r w:rsidRPr="00E21D5E">
              <w:rPr>
                <w:rFonts w:ascii="Times New Roman" w:eastAsia="Times New Roman" w:hAnsi="Times New Roman" w:cs="Times New Roman"/>
                <w:color w:val="000000"/>
                <w:sz w:val="20"/>
                <w:szCs w:val="20"/>
              </w:rPr>
              <w:t>ervices</w:t>
            </w:r>
          </w:p>
        </w:tc>
        <w:tc>
          <w:tcPr>
            <w:tcW w:w="851" w:type="dxa"/>
            <w:tcBorders>
              <w:top w:val="single" w:sz="4" w:space="0" w:color="auto"/>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Total</w:t>
            </w:r>
          </w:p>
        </w:tc>
      </w:tr>
      <w:tr w:rsidR="00773556" w:rsidRPr="00E21D5E" w:rsidTr="00A8093A">
        <w:trPr>
          <w:trHeight w:val="300"/>
        </w:trPr>
        <w:tc>
          <w:tcPr>
            <w:tcW w:w="1291"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E</w:t>
            </w:r>
            <w:r w:rsidRPr="00E21D5E">
              <w:rPr>
                <w:rFonts w:ascii="Times New Roman" w:eastAsia="Times New Roman" w:hAnsi="Times New Roman" w:cs="Times New Roman"/>
                <w:color w:val="000000"/>
                <w:sz w:val="20"/>
                <w:szCs w:val="20"/>
              </w:rPr>
              <w:t>lectricity</w:t>
            </w:r>
            <w:proofErr w:type="spellEnd"/>
          </w:p>
        </w:tc>
        <w:tc>
          <w:tcPr>
            <w:tcW w:w="616" w:type="dxa"/>
            <w:tcBorders>
              <w:top w:val="single" w:sz="4" w:space="0" w:color="auto"/>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TWh</w:t>
            </w:r>
            <w:proofErr w:type="spellEnd"/>
          </w:p>
        </w:tc>
        <w:tc>
          <w:tcPr>
            <w:tcW w:w="1085"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94.9</w:t>
            </w:r>
          </w:p>
        </w:tc>
        <w:tc>
          <w:tcPr>
            <w:tcW w:w="992"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193.5</w:t>
            </w:r>
          </w:p>
        </w:tc>
        <w:tc>
          <w:tcPr>
            <w:tcW w:w="993"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20.7</w:t>
            </w:r>
          </w:p>
        </w:tc>
        <w:tc>
          <w:tcPr>
            <w:tcW w:w="992"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56.8</w:t>
            </w:r>
          </w:p>
        </w:tc>
        <w:tc>
          <w:tcPr>
            <w:tcW w:w="851" w:type="dxa"/>
            <w:tcBorders>
              <w:top w:val="single" w:sz="4" w:space="0" w:color="auto"/>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365.9</w:t>
            </w:r>
          </w:p>
        </w:tc>
      </w:tr>
      <w:tr w:rsidR="00773556" w:rsidRPr="00E21D5E" w:rsidTr="00A8093A">
        <w:trPr>
          <w:trHeight w:val="300"/>
        </w:trPr>
        <w:tc>
          <w:tcPr>
            <w:tcW w:w="129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Natural g</w:t>
            </w:r>
            <w:r w:rsidRPr="00E21D5E">
              <w:rPr>
                <w:rFonts w:ascii="Times New Roman" w:eastAsia="Times New Roman" w:hAnsi="Times New Roman" w:cs="Times New Roman"/>
                <w:color w:val="000000"/>
                <w:sz w:val="20"/>
                <w:szCs w:val="20"/>
              </w:rPr>
              <w:t>as</w:t>
            </w:r>
          </w:p>
        </w:tc>
        <w:tc>
          <w:tcPr>
            <w:tcW w:w="616" w:type="dxa"/>
            <w:tcBorders>
              <w:top w:val="nil"/>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0.3</w:t>
            </w:r>
            <w:proofErr w:type="gramEnd"/>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7.1</w:t>
            </w:r>
          </w:p>
        </w:tc>
        <w:tc>
          <w:tcPr>
            <w:tcW w:w="993"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11.0</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0.1</w:t>
            </w:r>
            <w:proofErr w:type="gramEnd"/>
          </w:p>
        </w:tc>
        <w:tc>
          <w:tcPr>
            <w:tcW w:w="85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18.5</w:t>
            </w:r>
          </w:p>
        </w:tc>
      </w:tr>
      <w:tr w:rsidR="00773556" w:rsidRPr="00E21D5E" w:rsidTr="00A8093A">
        <w:trPr>
          <w:trHeight w:val="300"/>
        </w:trPr>
        <w:tc>
          <w:tcPr>
            <w:tcW w:w="129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S</w:t>
            </w:r>
            <w:r w:rsidRPr="00E21D5E">
              <w:rPr>
                <w:rFonts w:ascii="Times New Roman" w:eastAsia="Times New Roman" w:hAnsi="Times New Roman" w:cs="Times New Roman"/>
                <w:color w:val="000000"/>
                <w:sz w:val="20"/>
                <w:szCs w:val="20"/>
              </w:rPr>
              <w:t>team</w:t>
            </w:r>
            <w:r w:rsidRPr="00C27C5B">
              <w:rPr>
                <w:rFonts w:ascii="Times New Roman" w:eastAsia="Times New Roman" w:hAnsi="Times New Roman" w:cs="Times New Roman"/>
                <w:color w:val="000000"/>
                <w:sz w:val="20"/>
                <w:szCs w:val="20"/>
              </w:rPr>
              <w:t xml:space="preserve"> </w:t>
            </w:r>
            <w:proofErr w:type="spellStart"/>
            <w:r w:rsidRPr="00E21D5E">
              <w:rPr>
                <w:rFonts w:ascii="Times New Roman" w:eastAsia="Times New Roman" w:hAnsi="Times New Roman" w:cs="Times New Roman"/>
                <w:color w:val="000000"/>
                <w:sz w:val="20"/>
                <w:szCs w:val="20"/>
              </w:rPr>
              <w:t>coal</w:t>
            </w:r>
            <w:proofErr w:type="spellEnd"/>
          </w:p>
        </w:tc>
        <w:tc>
          <w:tcPr>
            <w:tcW w:w="616" w:type="dxa"/>
            <w:tcBorders>
              <w:top w:val="nil"/>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0.3</w:t>
            </w:r>
            <w:proofErr w:type="gramEnd"/>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22.3</w:t>
            </w:r>
          </w:p>
        </w:tc>
        <w:tc>
          <w:tcPr>
            <w:tcW w:w="993"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27.1</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0.4</w:t>
            </w:r>
            <w:proofErr w:type="gramEnd"/>
          </w:p>
        </w:tc>
        <w:tc>
          <w:tcPr>
            <w:tcW w:w="85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50.1</w:t>
            </w:r>
          </w:p>
        </w:tc>
      </w:tr>
      <w:tr w:rsidR="00773556" w:rsidRPr="00E21D5E" w:rsidTr="00A8093A">
        <w:trPr>
          <w:trHeight w:val="300"/>
        </w:trPr>
        <w:tc>
          <w:tcPr>
            <w:tcW w:w="129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C</w:t>
            </w:r>
            <w:r w:rsidRPr="00E21D5E">
              <w:rPr>
                <w:rFonts w:ascii="Times New Roman" w:eastAsia="Times New Roman" w:hAnsi="Times New Roman" w:cs="Times New Roman"/>
                <w:color w:val="000000"/>
                <w:sz w:val="20"/>
                <w:szCs w:val="20"/>
              </w:rPr>
              <w:t>oking</w:t>
            </w:r>
            <w:proofErr w:type="spellEnd"/>
            <w:r w:rsidRPr="00C27C5B">
              <w:rPr>
                <w:rFonts w:ascii="Times New Roman" w:eastAsia="Times New Roman" w:hAnsi="Times New Roman" w:cs="Times New Roman"/>
                <w:color w:val="000000"/>
                <w:sz w:val="20"/>
                <w:szCs w:val="20"/>
              </w:rPr>
              <w:t xml:space="preserve"> </w:t>
            </w:r>
            <w:proofErr w:type="spellStart"/>
            <w:r w:rsidRPr="00E21D5E">
              <w:rPr>
                <w:rFonts w:ascii="Times New Roman" w:eastAsia="Times New Roman" w:hAnsi="Times New Roman" w:cs="Times New Roman"/>
                <w:color w:val="000000"/>
                <w:sz w:val="20"/>
                <w:szCs w:val="20"/>
              </w:rPr>
              <w:t>coal</w:t>
            </w:r>
            <w:proofErr w:type="spellEnd"/>
          </w:p>
        </w:tc>
        <w:tc>
          <w:tcPr>
            <w:tcW w:w="616" w:type="dxa"/>
            <w:tcBorders>
              <w:top w:val="nil"/>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4.4</w:t>
            </w:r>
          </w:p>
        </w:tc>
        <w:tc>
          <w:tcPr>
            <w:tcW w:w="993"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4.4</w:t>
            </w:r>
          </w:p>
        </w:tc>
      </w:tr>
      <w:tr w:rsidR="00773556" w:rsidRPr="00E21D5E" w:rsidTr="00A8093A">
        <w:trPr>
          <w:trHeight w:val="300"/>
        </w:trPr>
        <w:tc>
          <w:tcPr>
            <w:tcW w:w="129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L</w:t>
            </w:r>
            <w:r w:rsidRPr="00E21D5E">
              <w:rPr>
                <w:rFonts w:ascii="Times New Roman" w:eastAsia="Times New Roman" w:hAnsi="Times New Roman" w:cs="Times New Roman"/>
                <w:color w:val="000000"/>
                <w:sz w:val="20"/>
                <w:szCs w:val="20"/>
              </w:rPr>
              <w:t>ignite</w:t>
            </w:r>
            <w:proofErr w:type="spellEnd"/>
          </w:p>
        </w:tc>
        <w:tc>
          <w:tcPr>
            <w:tcW w:w="616" w:type="dxa"/>
            <w:tcBorders>
              <w:top w:val="nil"/>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0.0</w:t>
            </w:r>
            <w:proofErr w:type="gramEnd"/>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0.1</w:t>
            </w:r>
            <w:proofErr w:type="gramEnd"/>
          </w:p>
        </w:tc>
        <w:tc>
          <w:tcPr>
            <w:tcW w:w="993"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17.1</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0.1</w:t>
            </w:r>
            <w:proofErr w:type="gramEnd"/>
          </w:p>
        </w:tc>
        <w:tc>
          <w:tcPr>
            <w:tcW w:w="85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17.2</w:t>
            </w:r>
          </w:p>
        </w:tc>
      </w:tr>
      <w:tr w:rsidR="00773556" w:rsidRPr="00E21D5E" w:rsidTr="00A8093A">
        <w:trPr>
          <w:trHeight w:val="300"/>
        </w:trPr>
        <w:tc>
          <w:tcPr>
            <w:tcW w:w="129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r w:rsidRPr="00C27C5B">
              <w:rPr>
                <w:rFonts w:ascii="Times New Roman" w:eastAsia="Times New Roman" w:hAnsi="Times New Roman" w:cs="Times New Roman"/>
                <w:color w:val="000000"/>
                <w:sz w:val="20"/>
                <w:szCs w:val="20"/>
              </w:rPr>
              <w:t>O</w:t>
            </w:r>
            <w:r w:rsidRPr="00E21D5E">
              <w:rPr>
                <w:rFonts w:ascii="Times New Roman" w:eastAsia="Times New Roman" w:hAnsi="Times New Roman" w:cs="Times New Roman"/>
                <w:color w:val="000000"/>
                <w:sz w:val="20"/>
                <w:szCs w:val="20"/>
              </w:rPr>
              <w:t>il</w:t>
            </w:r>
          </w:p>
        </w:tc>
        <w:tc>
          <w:tcPr>
            <w:tcW w:w="616" w:type="dxa"/>
            <w:tcBorders>
              <w:top w:val="nil"/>
              <w:left w:val="nil"/>
              <w:bottom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0.8</w:t>
            </w:r>
            <w:proofErr w:type="gramEnd"/>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4.5</w:t>
            </w:r>
          </w:p>
        </w:tc>
        <w:tc>
          <w:tcPr>
            <w:tcW w:w="993"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10.9</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r w:rsidRPr="00E21D5E">
              <w:rPr>
                <w:rFonts w:ascii="Times New Roman" w:eastAsia="Times New Roman" w:hAnsi="Times New Roman" w:cs="Times New Roman"/>
                <w:color w:val="000000"/>
                <w:sz w:val="20"/>
                <w:szCs w:val="20"/>
              </w:rPr>
              <w:t>2.7</w:t>
            </w:r>
          </w:p>
        </w:tc>
        <w:tc>
          <w:tcPr>
            <w:tcW w:w="992"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0.3</w:t>
            </w:r>
            <w:proofErr w:type="gramEnd"/>
          </w:p>
        </w:tc>
        <w:tc>
          <w:tcPr>
            <w:tcW w:w="851" w:type="dxa"/>
            <w:tcBorders>
              <w:top w:val="nil"/>
              <w:left w:val="nil"/>
              <w:bottom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r w:rsidRPr="00E21D5E">
              <w:rPr>
                <w:rFonts w:ascii="Times New Roman" w:eastAsia="Times New Roman" w:hAnsi="Times New Roman" w:cs="Times New Roman"/>
                <w:b/>
                <w:bCs/>
                <w:color w:val="000000"/>
                <w:sz w:val="20"/>
                <w:szCs w:val="20"/>
              </w:rPr>
              <w:t>19.2</w:t>
            </w:r>
          </w:p>
        </w:tc>
      </w:tr>
      <w:tr w:rsidR="00773556" w:rsidRPr="00E21D5E" w:rsidTr="00A8093A">
        <w:trPr>
          <w:trHeight w:val="300"/>
        </w:trPr>
        <w:tc>
          <w:tcPr>
            <w:tcW w:w="1291" w:type="dxa"/>
            <w:tcBorders>
              <w:top w:val="nil"/>
              <w:left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B</w:t>
            </w:r>
            <w:r w:rsidRPr="00E21D5E">
              <w:rPr>
                <w:rFonts w:ascii="Times New Roman" w:eastAsia="Times New Roman" w:hAnsi="Times New Roman" w:cs="Times New Roman"/>
                <w:color w:val="000000"/>
                <w:sz w:val="20"/>
                <w:szCs w:val="20"/>
              </w:rPr>
              <w:t>iofuel</w:t>
            </w:r>
            <w:proofErr w:type="spellEnd"/>
          </w:p>
        </w:tc>
        <w:tc>
          <w:tcPr>
            <w:tcW w:w="616" w:type="dxa"/>
            <w:tcBorders>
              <w:top w:val="nil"/>
              <w:left w:val="nil"/>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3" w:type="dxa"/>
            <w:tcBorders>
              <w:top w:val="nil"/>
              <w:left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0.0</w:t>
            </w:r>
            <w:proofErr w:type="gramEnd"/>
          </w:p>
        </w:tc>
        <w:tc>
          <w:tcPr>
            <w:tcW w:w="992" w:type="dxa"/>
            <w:tcBorders>
              <w:top w:val="nil"/>
              <w:left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851" w:type="dxa"/>
            <w:tcBorders>
              <w:top w:val="nil"/>
              <w:left w:val="nil"/>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proofErr w:type="gramStart"/>
            <w:r w:rsidRPr="00E21D5E">
              <w:rPr>
                <w:rFonts w:ascii="Times New Roman" w:eastAsia="Times New Roman" w:hAnsi="Times New Roman" w:cs="Times New Roman"/>
                <w:b/>
                <w:bCs/>
                <w:color w:val="000000"/>
                <w:sz w:val="20"/>
                <w:szCs w:val="20"/>
              </w:rPr>
              <w:t>0.0</w:t>
            </w:r>
            <w:proofErr w:type="gramEnd"/>
          </w:p>
        </w:tc>
      </w:tr>
      <w:tr w:rsidR="00773556" w:rsidRPr="00E21D5E" w:rsidTr="00A8093A">
        <w:trPr>
          <w:trHeight w:val="300"/>
        </w:trPr>
        <w:tc>
          <w:tcPr>
            <w:tcW w:w="1291"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roofErr w:type="spellStart"/>
            <w:r w:rsidRPr="00C27C5B">
              <w:rPr>
                <w:rFonts w:ascii="Times New Roman" w:eastAsia="Times New Roman" w:hAnsi="Times New Roman" w:cs="Times New Roman"/>
                <w:color w:val="000000"/>
                <w:sz w:val="20"/>
                <w:szCs w:val="20"/>
              </w:rPr>
              <w:t>B</w:t>
            </w:r>
            <w:r w:rsidRPr="00E21D5E">
              <w:rPr>
                <w:rFonts w:ascii="Times New Roman" w:eastAsia="Times New Roman" w:hAnsi="Times New Roman" w:cs="Times New Roman"/>
                <w:color w:val="000000"/>
                <w:sz w:val="20"/>
                <w:szCs w:val="20"/>
              </w:rPr>
              <w:t>iomass</w:t>
            </w:r>
            <w:proofErr w:type="spellEnd"/>
          </w:p>
        </w:tc>
        <w:tc>
          <w:tcPr>
            <w:tcW w:w="616" w:type="dxa"/>
            <w:tcBorders>
              <w:top w:val="nil"/>
              <w:left w:val="nil"/>
              <w:bottom w:val="single" w:sz="4" w:space="0" w:color="auto"/>
              <w:right w:val="nil"/>
            </w:tcBorders>
            <w:vAlign w:val="bottom"/>
          </w:tcPr>
          <w:p w:rsidR="00773556" w:rsidRPr="006E5471" w:rsidRDefault="00773556" w:rsidP="00A8093A">
            <w:pPr>
              <w:spacing w:after="0" w:line="240" w:lineRule="auto"/>
              <w:rPr>
                <w:rFonts w:ascii="Times New Roman" w:eastAsia="Times New Roman" w:hAnsi="Times New Roman" w:cs="Times New Roman"/>
                <w:i/>
                <w:color w:val="000000"/>
                <w:sz w:val="20"/>
                <w:szCs w:val="20"/>
              </w:rPr>
            </w:pPr>
            <w:proofErr w:type="spellStart"/>
            <w:r w:rsidRPr="006E5471">
              <w:rPr>
                <w:rFonts w:ascii="Times New Roman" w:eastAsia="Times New Roman" w:hAnsi="Times New Roman" w:cs="Times New Roman"/>
                <w:i/>
                <w:color w:val="000000"/>
                <w:sz w:val="20"/>
                <w:szCs w:val="20"/>
              </w:rPr>
              <w:t>Mtoe</w:t>
            </w:r>
            <w:proofErr w:type="spellEnd"/>
          </w:p>
        </w:tc>
        <w:tc>
          <w:tcPr>
            <w:tcW w:w="1085"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0.2</w:t>
            </w:r>
            <w:proofErr w:type="gramEnd"/>
          </w:p>
        </w:tc>
        <w:tc>
          <w:tcPr>
            <w:tcW w:w="992"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0.1</w:t>
            </w:r>
            <w:proofErr w:type="gramEnd"/>
          </w:p>
        </w:tc>
        <w:tc>
          <w:tcPr>
            <w:tcW w:w="993"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0.2</w:t>
            </w:r>
            <w:proofErr w:type="gramEnd"/>
          </w:p>
        </w:tc>
        <w:tc>
          <w:tcPr>
            <w:tcW w:w="992"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color w:val="000000"/>
                <w:sz w:val="20"/>
                <w:szCs w:val="20"/>
              </w:rPr>
            </w:pPr>
            <w:proofErr w:type="gramStart"/>
            <w:r w:rsidRPr="00E21D5E">
              <w:rPr>
                <w:rFonts w:ascii="Times New Roman" w:eastAsia="Times New Roman" w:hAnsi="Times New Roman" w:cs="Times New Roman"/>
                <w:color w:val="000000"/>
                <w:sz w:val="20"/>
                <w:szCs w:val="20"/>
              </w:rPr>
              <w:t>0.1</w:t>
            </w:r>
            <w:proofErr w:type="gramEnd"/>
          </w:p>
        </w:tc>
        <w:tc>
          <w:tcPr>
            <w:tcW w:w="851" w:type="dxa"/>
            <w:tcBorders>
              <w:top w:val="nil"/>
              <w:left w:val="nil"/>
              <w:bottom w:val="single" w:sz="4" w:space="0" w:color="auto"/>
              <w:right w:val="nil"/>
            </w:tcBorders>
            <w:shd w:val="clear" w:color="auto" w:fill="auto"/>
            <w:noWrap/>
            <w:vAlign w:val="bottom"/>
            <w:hideMark/>
          </w:tcPr>
          <w:p w:rsidR="00773556" w:rsidRPr="00E21D5E" w:rsidRDefault="00773556" w:rsidP="00A8093A">
            <w:pPr>
              <w:spacing w:after="0" w:line="240" w:lineRule="auto"/>
              <w:jc w:val="right"/>
              <w:rPr>
                <w:rFonts w:ascii="Times New Roman" w:eastAsia="Times New Roman" w:hAnsi="Times New Roman" w:cs="Times New Roman"/>
                <w:b/>
                <w:bCs/>
                <w:color w:val="000000"/>
                <w:sz w:val="20"/>
                <w:szCs w:val="20"/>
              </w:rPr>
            </w:pPr>
            <w:proofErr w:type="gramStart"/>
            <w:r w:rsidRPr="00E21D5E">
              <w:rPr>
                <w:rFonts w:ascii="Times New Roman" w:eastAsia="Times New Roman" w:hAnsi="Times New Roman" w:cs="Times New Roman"/>
                <w:b/>
                <w:bCs/>
                <w:color w:val="000000"/>
                <w:sz w:val="20"/>
                <w:szCs w:val="20"/>
              </w:rPr>
              <w:t>0.5</w:t>
            </w:r>
            <w:proofErr w:type="gramEnd"/>
          </w:p>
        </w:tc>
      </w:tr>
    </w:tbl>
    <w:p w:rsidR="00773556" w:rsidRDefault="00773556" w:rsidP="00773556">
      <w:pPr>
        <w:jc w:val="both"/>
        <w:rPr>
          <w:rFonts w:ascii="Times New Roman" w:hAnsi="Times New Roman" w:cs="Times New Roman"/>
          <w:lang w:val="en-GB"/>
        </w:rPr>
      </w:pPr>
      <w:r>
        <w:rPr>
          <w:rFonts w:ascii="Times New Roman" w:hAnsi="Times New Roman" w:cs="Times New Roman"/>
          <w:sz w:val="20"/>
          <w:szCs w:val="20"/>
          <w:lang w:val="en-US"/>
        </w:rPr>
        <w:br/>
      </w:r>
      <w:r>
        <w:rPr>
          <w:rFonts w:ascii="Times New Roman" w:hAnsi="Times New Roman" w:cs="Times New Roman"/>
          <w:lang w:val="en-GB"/>
        </w:rPr>
        <w:br/>
      </w:r>
      <w:r w:rsidRPr="008A12F2">
        <w:rPr>
          <w:rFonts w:ascii="Times New Roman" w:hAnsi="Times New Roman" w:cs="Times New Roman"/>
          <w:lang w:val="en-GB"/>
        </w:rPr>
        <w:t>Due to lack of sources the</w:t>
      </w:r>
      <w:r>
        <w:rPr>
          <w:rFonts w:ascii="Times New Roman" w:hAnsi="Times New Roman" w:cs="Times New Roman"/>
          <w:lang w:val="en-GB"/>
        </w:rPr>
        <w:t xml:space="preserve"> consumption within RU1, RU2 and RU3 shown in Tables 13-15 will not be accurate. Ultimately the data is constructed so that the regional consumption sums up to that reported by the IEA, so that the total consumption of energy in Russia is consistent with the modelling of Russia as an exogenous country.  </w:t>
      </w:r>
    </w:p>
    <w:p w:rsidR="00773556" w:rsidRDefault="00773556" w:rsidP="00773556">
      <w:pPr>
        <w:jc w:val="both"/>
        <w:rPr>
          <w:rFonts w:ascii="Times New Roman" w:hAnsi="Times New Roman" w:cs="Times New Roman"/>
          <w:lang w:val="en-GB"/>
        </w:rPr>
      </w:pPr>
    </w:p>
    <w:p w:rsidR="00773556" w:rsidRDefault="00773556" w:rsidP="00773556">
      <w:pPr>
        <w:pStyle w:val="Heading3"/>
        <w:jc w:val="both"/>
        <w:rPr>
          <w:lang w:val="en-GB"/>
        </w:rPr>
      </w:pPr>
      <w:bookmarkStart w:id="2" w:name="_Toc386631744"/>
      <w:r>
        <w:rPr>
          <w:lang w:val="en-GB"/>
        </w:rPr>
        <w:t>3.7.2 Energy trade</w:t>
      </w:r>
      <w:bookmarkEnd w:id="2"/>
    </w:p>
    <w:p w:rsidR="00773556" w:rsidRDefault="00773556" w:rsidP="00773556">
      <w:pPr>
        <w:jc w:val="both"/>
        <w:rPr>
          <w:rFonts w:ascii="Times New Roman" w:hAnsi="Times New Roman" w:cs="Times New Roman"/>
          <w:lang w:val="en-GB"/>
        </w:rPr>
      </w:pPr>
      <w:r w:rsidRPr="006A70ED">
        <w:rPr>
          <w:rFonts w:ascii="Times New Roman" w:hAnsi="Times New Roman" w:cs="Times New Roman"/>
          <w:lang w:val="en-GB"/>
        </w:rPr>
        <w:t>Energy trade between the three Russian regions takes place in the same way as for the other model countries, i.e. only neighbouring countries can trade directly. The consumption nodes are the same for all traded goods (biomass, electricity and natural gas), and in addition there are production nodes for natural gas.</w:t>
      </w:r>
      <w:r>
        <w:rPr>
          <w:rFonts w:ascii="Times New Roman" w:hAnsi="Times New Roman" w:cs="Times New Roman"/>
          <w:lang w:val="en-GB"/>
        </w:rPr>
        <w:t xml:space="preserve"> </w:t>
      </w:r>
      <w:r w:rsidRPr="006A70ED">
        <w:rPr>
          <w:rFonts w:ascii="Times New Roman" w:hAnsi="Times New Roman" w:cs="Times New Roman"/>
          <w:lang w:val="en-GB"/>
        </w:rPr>
        <w:t xml:space="preserve">These are situated based on actual production today for RU1 and RU2, and at the largest potential natural gas field for RU3. For RU1 and RU2 this means that the distance from the production nodes to the consumption nodes corresponds fairly well with </w:t>
      </w:r>
      <w:r>
        <w:rPr>
          <w:rFonts w:ascii="Times New Roman" w:hAnsi="Times New Roman" w:cs="Times New Roman"/>
          <w:lang w:val="en-GB"/>
        </w:rPr>
        <w:t>today’s</w:t>
      </w:r>
      <w:r w:rsidRPr="006A70ED">
        <w:rPr>
          <w:rFonts w:ascii="Times New Roman" w:hAnsi="Times New Roman" w:cs="Times New Roman"/>
          <w:lang w:val="en-GB"/>
        </w:rPr>
        <w:t xml:space="preserve"> pipeline structure. Natural gas can be sent directly from the production node in RU2 to the consumption node in RU1 </w:t>
      </w:r>
      <w:r w:rsidRPr="006A70ED">
        <w:rPr>
          <w:rFonts w:ascii="Times New Roman" w:hAnsi="Times New Roman" w:cs="Times New Roman"/>
          <w:lang w:val="en-GB"/>
        </w:rPr>
        <w:lastRenderedPageBreak/>
        <w:t xml:space="preserve">for the same reason (see map). RU3 is more problematic due to the vast distances. The production of natural gas that takes place in RU3 today is situated in the Far East on the </w:t>
      </w:r>
      <w:r>
        <w:rPr>
          <w:rFonts w:ascii="Times New Roman" w:hAnsi="Times New Roman" w:cs="Times New Roman"/>
          <w:lang w:val="en-GB"/>
        </w:rPr>
        <w:t xml:space="preserve">eastern </w:t>
      </w:r>
      <w:r w:rsidRPr="006A70ED">
        <w:rPr>
          <w:rFonts w:ascii="Times New Roman" w:hAnsi="Times New Roman" w:cs="Times New Roman"/>
          <w:lang w:val="en-GB"/>
        </w:rPr>
        <w:t>coast at Sakhalin. Th</w:t>
      </w:r>
      <w:r>
        <w:rPr>
          <w:rFonts w:ascii="Times New Roman" w:hAnsi="Times New Roman" w:cs="Times New Roman"/>
          <w:lang w:val="en-GB"/>
        </w:rPr>
        <w:t>e gas extracted here</w:t>
      </w:r>
      <w:r w:rsidRPr="006A70ED">
        <w:rPr>
          <w:rFonts w:ascii="Times New Roman" w:hAnsi="Times New Roman" w:cs="Times New Roman"/>
          <w:lang w:val="en-GB"/>
        </w:rPr>
        <w:t xml:space="preserve"> is mainly exported as LNG so is not modelled directly in the current version of the model. The connection between the production node in RU2 and the consumption node in RU3 reflects existing pipeline structures that suppl</w:t>
      </w:r>
      <w:r>
        <w:rPr>
          <w:rFonts w:ascii="Times New Roman" w:hAnsi="Times New Roman" w:cs="Times New Roman"/>
          <w:lang w:val="en-GB"/>
        </w:rPr>
        <w:t>y</w:t>
      </w:r>
      <w:r w:rsidRPr="006A70ED">
        <w:rPr>
          <w:rFonts w:ascii="Times New Roman" w:hAnsi="Times New Roman" w:cs="Times New Roman"/>
          <w:lang w:val="en-GB"/>
        </w:rPr>
        <w:t xml:space="preserve"> the population centre in RU3 today. RU3s production node is situated in Eastern-Siberia by the undeveloped gas field </w:t>
      </w:r>
      <w:proofErr w:type="spellStart"/>
      <w:r w:rsidRPr="006A70ED">
        <w:rPr>
          <w:rFonts w:ascii="Times New Roman" w:hAnsi="Times New Roman" w:cs="Times New Roman"/>
          <w:lang w:val="en-GB"/>
        </w:rPr>
        <w:t>Kovytka</w:t>
      </w:r>
      <w:proofErr w:type="spellEnd"/>
      <w:r w:rsidRPr="006A70ED">
        <w:rPr>
          <w:rFonts w:ascii="Times New Roman" w:hAnsi="Times New Roman" w:cs="Times New Roman"/>
          <w:lang w:val="en-GB"/>
        </w:rPr>
        <w:t>.</w:t>
      </w:r>
      <w:r>
        <w:rPr>
          <w:rFonts w:ascii="Times New Roman" w:hAnsi="Times New Roman" w:cs="Times New Roman"/>
          <w:lang w:val="en-GB"/>
        </w:rPr>
        <w:t xml:space="preserve"> </w:t>
      </w:r>
    </w:p>
    <w:p w:rsidR="00773556" w:rsidRPr="00A51460" w:rsidRDefault="00773556" w:rsidP="00773556">
      <w:pPr>
        <w:spacing w:after="0"/>
        <w:jc w:val="both"/>
        <w:rPr>
          <w:rFonts w:ascii="Times New Roman" w:hAnsi="Times New Roman" w:cs="Times New Roman"/>
          <w:b/>
          <w:sz w:val="20"/>
          <w:szCs w:val="20"/>
          <w:lang w:val="en-GB"/>
        </w:rPr>
      </w:pPr>
      <w:r>
        <w:rPr>
          <w:rFonts w:ascii="Times New Roman" w:hAnsi="Times New Roman" w:cs="Times New Roman"/>
          <w:b/>
          <w:sz w:val="20"/>
          <w:szCs w:val="20"/>
          <w:lang w:val="en-GB"/>
        </w:rPr>
        <w:br/>
        <w:t>Figure 6</w:t>
      </w:r>
      <w:r w:rsidRPr="00A51460">
        <w:rPr>
          <w:rFonts w:ascii="Times New Roman" w:hAnsi="Times New Roman" w:cs="Times New Roman"/>
          <w:b/>
          <w:sz w:val="20"/>
          <w:szCs w:val="20"/>
          <w:lang w:val="en-GB"/>
        </w:rPr>
        <w:t xml:space="preserve"> Map of</w:t>
      </w:r>
      <w:r>
        <w:rPr>
          <w:rFonts w:ascii="Times New Roman" w:hAnsi="Times New Roman" w:cs="Times New Roman"/>
          <w:b/>
          <w:sz w:val="20"/>
          <w:szCs w:val="20"/>
          <w:lang w:val="en-GB"/>
        </w:rPr>
        <w:t xml:space="preserve"> general</w:t>
      </w:r>
      <w:r w:rsidRPr="00A51460">
        <w:rPr>
          <w:rFonts w:ascii="Times New Roman" w:hAnsi="Times New Roman" w:cs="Times New Roman"/>
          <w:b/>
          <w:sz w:val="20"/>
          <w:szCs w:val="20"/>
          <w:lang w:val="en-GB"/>
        </w:rPr>
        <w:t xml:space="preserve"> consumption </w:t>
      </w:r>
      <w:r>
        <w:rPr>
          <w:rFonts w:ascii="Times New Roman" w:hAnsi="Times New Roman" w:cs="Times New Roman"/>
          <w:b/>
          <w:sz w:val="20"/>
          <w:szCs w:val="20"/>
          <w:lang w:val="en-GB"/>
        </w:rPr>
        <w:t xml:space="preserve">nodes </w:t>
      </w:r>
      <w:r w:rsidRPr="00A51460">
        <w:rPr>
          <w:rFonts w:ascii="Times New Roman" w:hAnsi="Times New Roman" w:cs="Times New Roman"/>
          <w:b/>
          <w:sz w:val="20"/>
          <w:szCs w:val="20"/>
          <w:lang w:val="en-GB"/>
        </w:rPr>
        <w:t xml:space="preserve">and </w:t>
      </w:r>
      <w:r>
        <w:rPr>
          <w:rFonts w:ascii="Times New Roman" w:hAnsi="Times New Roman" w:cs="Times New Roman"/>
          <w:b/>
          <w:sz w:val="20"/>
          <w:szCs w:val="20"/>
          <w:lang w:val="en-GB"/>
        </w:rPr>
        <w:t xml:space="preserve">natural gas </w:t>
      </w:r>
      <w:r w:rsidRPr="00A51460">
        <w:rPr>
          <w:rFonts w:ascii="Times New Roman" w:hAnsi="Times New Roman" w:cs="Times New Roman"/>
          <w:b/>
          <w:sz w:val="20"/>
          <w:szCs w:val="20"/>
          <w:lang w:val="en-GB"/>
        </w:rPr>
        <w:t>production nodes in Russia</w:t>
      </w:r>
    </w:p>
    <w:p w:rsidR="00773556" w:rsidRPr="00A51460" w:rsidRDefault="00773556" w:rsidP="00773556">
      <w:pPr>
        <w:jc w:val="both"/>
        <w:rPr>
          <w:rFonts w:ascii="Times New Roman" w:hAnsi="Times New Roman" w:cs="Times New Roman"/>
          <w:lang w:val="en-GB"/>
        </w:rPr>
      </w:pPr>
      <w:r>
        <w:rPr>
          <w:rFonts w:ascii="Times New Roman" w:hAnsi="Times New Roman" w:cs="Times New Roman"/>
          <w:i/>
          <w:noProof/>
          <w:sz w:val="20"/>
          <w:szCs w:val="20"/>
        </w:rPr>
        <w:drawing>
          <wp:inline distT="0" distB="0" distL="0" distR="0" wp14:anchorId="6A55A6B6" wp14:editId="72E97FF0">
            <wp:extent cx="6645910" cy="38354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Russia_gas.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3835400"/>
                    </a:xfrm>
                    <a:prstGeom prst="rect">
                      <a:avLst/>
                    </a:prstGeom>
                  </pic:spPr>
                </pic:pic>
              </a:graphicData>
            </a:graphic>
          </wp:inline>
        </w:drawing>
      </w:r>
      <w:r w:rsidRPr="00A51460">
        <w:rPr>
          <w:rFonts w:ascii="Times New Roman" w:hAnsi="Times New Roman" w:cs="Times New Roman"/>
          <w:i/>
          <w:sz w:val="20"/>
          <w:szCs w:val="20"/>
          <w:lang w:val="en-GB"/>
        </w:rPr>
        <w:t xml:space="preserve">The consumption nodes are marked </w:t>
      </w:r>
      <w:r>
        <w:rPr>
          <w:rFonts w:ascii="Times New Roman" w:hAnsi="Times New Roman" w:cs="Times New Roman"/>
          <w:i/>
          <w:sz w:val="20"/>
          <w:szCs w:val="20"/>
          <w:lang w:val="en-GB"/>
        </w:rPr>
        <w:t xml:space="preserve">in grey and labelled </w:t>
      </w:r>
      <w:r w:rsidRPr="00A51460">
        <w:rPr>
          <w:rFonts w:ascii="Times New Roman" w:hAnsi="Times New Roman" w:cs="Times New Roman"/>
          <w:i/>
          <w:sz w:val="20"/>
          <w:szCs w:val="20"/>
          <w:lang w:val="en-GB"/>
        </w:rPr>
        <w:t xml:space="preserve">ru1/ru2/ru3, and the natural gas production nodes are marked </w:t>
      </w:r>
      <w:r>
        <w:rPr>
          <w:rFonts w:ascii="Times New Roman" w:hAnsi="Times New Roman" w:cs="Times New Roman"/>
          <w:i/>
          <w:sz w:val="20"/>
          <w:szCs w:val="20"/>
          <w:lang w:val="en-GB"/>
        </w:rPr>
        <w:t xml:space="preserve">in </w:t>
      </w:r>
      <w:r w:rsidRPr="00A51460">
        <w:rPr>
          <w:rFonts w:ascii="Times New Roman" w:hAnsi="Times New Roman" w:cs="Times New Roman"/>
          <w:i/>
          <w:sz w:val="20"/>
          <w:szCs w:val="20"/>
          <w:lang w:val="en-GB"/>
        </w:rPr>
        <w:t xml:space="preserve">black. </w:t>
      </w:r>
    </w:p>
    <w:p w:rsidR="00E45980" w:rsidRDefault="00773556" w:rsidP="00773556">
      <w:pPr>
        <w:jc w:val="both"/>
        <w:rPr>
          <w:rFonts w:ascii="Times New Roman" w:hAnsi="Times New Roman" w:cs="Times New Roman"/>
          <w:lang w:val="en-GB"/>
        </w:rPr>
      </w:pPr>
      <w:r>
        <w:rPr>
          <w:rFonts w:ascii="Times New Roman" w:hAnsi="Times New Roman" w:cs="Times New Roman"/>
          <w:lang w:val="en-GB"/>
        </w:rPr>
        <w:t xml:space="preserve">It has not been possible to find </w:t>
      </w:r>
      <w:r w:rsidRPr="00085FA6">
        <w:rPr>
          <w:rFonts w:ascii="Times New Roman" w:hAnsi="Times New Roman" w:cs="Times New Roman"/>
          <w:lang w:val="en-GB"/>
        </w:rPr>
        <w:t>data on the</w:t>
      </w:r>
      <w:r>
        <w:rPr>
          <w:rFonts w:ascii="Times New Roman" w:hAnsi="Times New Roman" w:cs="Times New Roman"/>
          <w:lang w:val="en-GB"/>
        </w:rPr>
        <w:t xml:space="preserve"> actual</w:t>
      </w:r>
      <w:r w:rsidRPr="00085FA6">
        <w:rPr>
          <w:rFonts w:ascii="Times New Roman" w:hAnsi="Times New Roman" w:cs="Times New Roman"/>
          <w:lang w:val="en-GB"/>
        </w:rPr>
        <w:t xml:space="preserve"> </w:t>
      </w:r>
      <w:r w:rsidRPr="007968C8">
        <w:rPr>
          <w:rFonts w:ascii="Times New Roman" w:hAnsi="Times New Roman" w:cs="Times New Roman"/>
          <w:i/>
          <w:lang w:val="en-GB"/>
        </w:rPr>
        <w:t>natural gas</w:t>
      </w:r>
      <w:r w:rsidRPr="00085FA6">
        <w:rPr>
          <w:rFonts w:ascii="Times New Roman" w:hAnsi="Times New Roman" w:cs="Times New Roman"/>
          <w:lang w:val="en-GB"/>
        </w:rPr>
        <w:t xml:space="preserve"> trade between the Russian regions. Due to this </w:t>
      </w:r>
      <w:r>
        <w:rPr>
          <w:rFonts w:ascii="Times New Roman" w:hAnsi="Times New Roman" w:cs="Times New Roman"/>
          <w:lang w:val="en-GB"/>
        </w:rPr>
        <w:t>own</w:t>
      </w:r>
      <w:r w:rsidRPr="00085FA6">
        <w:rPr>
          <w:rFonts w:ascii="Times New Roman" w:hAnsi="Times New Roman" w:cs="Times New Roman"/>
          <w:lang w:val="en-GB"/>
        </w:rPr>
        <w:t xml:space="preserve"> assumptions have </w:t>
      </w:r>
      <w:r>
        <w:rPr>
          <w:rFonts w:ascii="Times New Roman" w:hAnsi="Times New Roman" w:cs="Times New Roman"/>
          <w:lang w:val="en-GB"/>
        </w:rPr>
        <w:t>been made</w:t>
      </w:r>
      <w:r w:rsidRPr="00085FA6">
        <w:rPr>
          <w:rFonts w:ascii="Times New Roman" w:hAnsi="Times New Roman" w:cs="Times New Roman"/>
          <w:lang w:val="en-GB"/>
        </w:rPr>
        <w:t xml:space="preserve"> regarding th</w:t>
      </w:r>
      <w:r>
        <w:rPr>
          <w:rFonts w:ascii="Times New Roman" w:hAnsi="Times New Roman" w:cs="Times New Roman"/>
          <w:lang w:val="en-GB"/>
        </w:rPr>
        <w:t>e internal natural gas flows in the base year. In 2009 88</w:t>
      </w:r>
      <w:r w:rsidRPr="00085FA6">
        <w:rPr>
          <w:rFonts w:ascii="Times New Roman" w:hAnsi="Times New Roman" w:cs="Times New Roman"/>
          <w:lang w:val="en-GB"/>
        </w:rPr>
        <w:t xml:space="preserve">% of the Russian gas extraction took place in the </w:t>
      </w:r>
      <w:proofErr w:type="spellStart"/>
      <w:r w:rsidRPr="00085FA6">
        <w:rPr>
          <w:rFonts w:ascii="Times New Roman" w:hAnsi="Times New Roman" w:cs="Times New Roman"/>
          <w:lang w:val="en-GB"/>
        </w:rPr>
        <w:t>Yamal</w:t>
      </w:r>
      <w:proofErr w:type="spellEnd"/>
      <w:r w:rsidRPr="00085FA6">
        <w:rPr>
          <w:rFonts w:ascii="Times New Roman" w:hAnsi="Times New Roman" w:cs="Times New Roman"/>
          <w:lang w:val="en-GB"/>
        </w:rPr>
        <w:t xml:space="preserve">-Nenets region, which is situated in RU2 in the model. From </w:t>
      </w:r>
      <w:proofErr w:type="spellStart"/>
      <w:r w:rsidRPr="00085FA6">
        <w:rPr>
          <w:rFonts w:ascii="Times New Roman" w:hAnsi="Times New Roman" w:cs="Times New Roman"/>
          <w:lang w:val="en-GB"/>
        </w:rPr>
        <w:t>Yamal</w:t>
      </w:r>
      <w:proofErr w:type="spellEnd"/>
      <w:r w:rsidRPr="00085FA6">
        <w:rPr>
          <w:rFonts w:ascii="Times New Roman" w:hAnsi="Times New Roman" w:cs="Times New Roman"/>
          <w:lang w:val="en-GB"/>
        </w:rPr>
        <w:t xml:space="preserve">-Nenets the natural gas pipelines generally go westward or southwest. Due to the way the regions are constructed this means that most of the gas that is extracted in </w:t>
      </w:r>
      <w:proofErr w:type="spellStart"/>
      <w:r w:rsidRPr="00085FA6">
        <w:rPr>
          <w:rFonts w:ascii="Times New Roman" w:hAnsi="Times New Roman" w:cs="Times New Roman"/>
          <w:lang w:val="en-GB"/>
        </w:rPr>
        <w:t>Yamal</w:t>
      </w:r>
      <w:proofErr w:type="spellEnd"/>
      <w:r w:rsidRPr="00085FA6">
        <w:rPr>
          <w:rFonts w:ascii="Times New Roman" w:hAnsi="Times New Roman" w:cs="Times New Roman"/>
          <w:lang w:val="en-GB"/>
        </w:rPr>
        <w:t xml:space="preserve">-Nenets is transported </w:t>
      </w:r>
      <w:r>
        <w:rPr>
          <w:rFonts w:ascii="Times New Roman" w:hAnsi="Times New Roman" w:cs="Times New Roman"/>
          <w:lang w:val="en-GB"/>
        </w:rPr>
        <w:t xml:space="preserve">from RU2 </w:t>
      </w:r>
      <w:r w:rsidRPr="00085FA6">
        <w:rPr>
          <w:rFonts w:ascii="Times New Roman" w:hAnsi="Times New Roman" w:cs="Times New Roman"/>
          <w:lang w:val="en-GB"/>
        </w:rPr>
        <w:t>into RU1, which covers the western parts of R</w:t>
      </w:r>
      <w:r>
        <w:rPr>
          <w:rFonts w:ascii="Times New Roman" w:hAnsi="Times New Roman" w:cs="Times New Roman"/>
          <w:lang w:val="en-GB"/>
        </w:rPr>
        <w:t>ussia</w:t>
      </w:r>
      <w:r w:rsidRPr="00085FA6">
        <w:rPr>
          <w:rFonts w:ascii="Times New Roman" w:hAnsi="Times New Roman" w:cs="Times New Roman"/>
          <w:lang w:val="en-GB"/>
        </w:rPr>
        <w:t xml:space="preserve">. </w:t>
      </w:r>
      <w:r>
        <w:rPr>
          <w:rFonts w:ascii="Times New Roman" w:hAnsi="Times New Roman" w:cs="Times New Roman"/>
          <w:lang w:val="en-GB"/>
        </w:rPr>
        <w:t>It is</w:t>
      </w:r>
      <w:r w:rsidRPr="00085FA6">
        <w:rPr>
          <w:rFonts w:ascii="Times New Roman" w:hAnsi="Times New Roman" w:cs="Times New Roman"/>
          <w:lang w:val="en-GB"/>
        </w:rPr>
        <w:t xml:space="preserve"> therefore assume</w:t>
      </w:r>
      <w:r>
        <w:rPr>
          <w:rFonts w:ascii="Times New Roman" w:hAnsi="Times New Roman" w:cs="Times New Roman"/>
          <w:lang w:val="en-GB"/>
        </w:rPr>
        <w:t>d</w:t>
      </w:r>
      <w:r w:rsidRPr="00085FA6">
        <w:rPr>
          <w:rFonts w:ascii="Times New Roman" w:hAnsi="Times New Roman" w:cs="Times New Roman"/>
          <w:lang w:val="en-GB"/>
        </w:rPr>
        <w:t xml:space="preserve"> that the gas extracted in RU2, minus the gas consumed in</w:t>
      </w:r>
      <w:r>
        <w:rPr>
          <w:rFonts w:ascii="Times New Roman" w:hAnsi="Times New Roman" w:cs="Times New Roman"/>
          <w:lang w:val="en-GB"/>
        </w:rPr>
        <w:t xml:space="preserve"> the region, is exported to RU1 before it is exported to Europe.</w:t>
      </w:r>
      <w:r w:rsidRPr="00085FA6">
        <w:rPr>
          <w:rFonts w:ascii="Times New Roman" w:hAnsi="Times New Roman" w:cs="Times New Roman"/>
          <w:lang w:val="en-GB"/>
        </w:rPr>
        <w:t xml:space="preserve"> IEA </w:t>
      </w:r>
      <w:r>
        <w:rPr>
          <w:rFonts w:ascii="Times New Roman" w:hAnsi="Times New Roman" w:cs="Times New Roman"/>
          <w:lang w:val="en-GB"/>
        </w:rPr>
        <w:t>Natural Gas Statistics gives</w:t>
      </w:r>
      <w:r w:rsidRPr="00085FA6">
        <w:rPr>
          <w:rFonts w:ascii="Times New Roman" w:hAnsi="Times New Roman" w:cs="Times New Roman"/>
          <w:lang w:val="en-GB"/>
        </w:rPr>
        <w:t xml:space="preserve"> information about the trade flows from Russia (national figures) to Europe and the rest of the world. </w:t>
      </w:r>
      <w:r>
        <w:rPr>
          <w:rFonts w:ascii="Times New Roman" w:hAnsi="Times New Roman" w:cs="Times New Roman"/>
          <w:lang w:val="en-GB"/>
        </w:rPr>
        <w:t>It is</w:t>
      </w:r>
      <w:r w:rsidRPr="00085FA6">
        <w:rPr>
          <w:rFonts w:ascii="Times New Roman" w:hAnsi="Times New Roman" w:cs="Times New Roman"/>
          <w:lang w:val="en-GB"/>
        </w:rPr>
        <w:t xml:space="preserve"> assume</w:t>
      </w:r>
      <w:r>
        <w:rPr>
          <w:rFonts w:ascii="Times New Roman" w:hAnsi="Times New Roman" w:cs="Times New Roman"/>
          <w:lang w:val="en-GB"/>
        </w:rPr>
        <w:t>d</w:t>
      </w:r>
      <w:r w:rsidRPr="00085FA6">
        <w:rPr>
          <w:rFonts w:ascii="Times New Roman" w:hAnsi="Times New Roman" w:cs="Times New Roman"/>
          <w:lang w:val="en-GB"/>
        </w:rPr>
        <w:t xml:space="preserve"> that all the gas </w:t>
      </w:r>
      <w:r>
        <w:rPr>
          <w:rFonts w:ascii="Times New Roman" w:hAnsi="Times New Roman" w:cs="Times New Roman"/>
          <w:lang w:val="en-GB"/>
        </w:rPr>
        <w:t xml:space="preserve">that is imported to Europe goes through </w:t>
      </w:r>
      <w:r w:rsidRPr="00085FA6">
        <w:rPr>
          <w:rFonts w:ascii="Times New Roman" w:hAnsi="Times New Roman" w:cs="Times New Roman"/>
          <w:lang w:val="en-GB"/>
        </w:rPr>
        <w:t xml:space="preserve">RU1, as </w:t>
      </w:r>
      <w:r>
        <w:rPr>
          <w:rFonts w:ascii="Times New Roman" w:hAnsi="Times New Roman" w:cs="Times New Roman"/>
          <w:lang w:val="en-GB"/>
        </w:rPr>
        <w:t>this is consistent with the pipeline structure towards Europe</w:t>
      </w:r>
      <w:r w:rsidRPr="00085FA6">
        <w:rPr>
          <w:rFonts w:ascii="Times New Roman" w:hAnsi="Times New Roman" w:cs="Times New Roman"/>
          <w:lang w:val="en-GB"/>
        </w:rPr>
        <w:t xml:space="preserve">. Russia also has some export of natural gas to the rest of the world. </w:t>
      </w:r>
      <w:r>
        <w:rPr>
          <w:rFonts w:ascii="Times New Roman" w:hAnsi="Times New Roman" w:cs="Times New Roman"/>
          <w:lang w:val="en-GB"/>
        </w:rPr>
        <w:t>Figure 6 shows how gas can be traded directly from the production node in RU2 (where the majority of the Russian gas is extracted) and the consumption nodes in RU1 and RU3. This is based on where the actual pipelines are situated. RU3 has some export of LNG from the Sakhalin field in the Far East. It is assumed that this is traded directly with ROW (rest of the world).</w:t>
      </w:r>
    </w:p>
    <w:p w:rsidR="00E45980" w:rsidRDefault="00E45980" w:rsidP="00E45980">
      <w:pPr>
        <w:rPr>
          <w:lang w:val="en-GB"/>
        </w:rPr>
      </w:pPr>
      <w:r>
        <w:rPr>
          <w:lang w:val="en-GB"/>
        </w:rPr>
        <w:br w:type="page"/>
      </w:r>
    </w:p>
    <w:p w:rsidR="00773556" w:rsidRDefault="00773556" w:rsidP="00773556">
      <w:pPr>
        <w:rPr>
          <w:rFonts w:ascii="Times New Roman" w:hAnsi="Times New Roman" w:cs="Times New Roman"/>
          <w:b/>
          <w:sz w:val="20"/>
          <w:szCs w:val="20"/>
          <w:lang w:val="en-US"/>
        </w:rPr>
      </w:pPr>
      <w:r w:rsidRPr="001740F2">
        <w:rPr>
          <w:rFonts w:ascii="Times New Roman" w:hAnsi="Times New Roman" w:cs="Times New Roman"/>
          <w:b/>
          <w:sz w:val="20"/>
          <w:szCs w:val="20"/>
          <w:lang w:val="en-US"/>
        </w:rPr>
        <w:lastRenderedPageBreak/>
        <w:t xml:space="preserve">Table </w:t>
      </w:r>
      <w:r>
        <w:rPr>
          <w:rFonts w:ascii="Times New Roman" w:hAnsi="Times New Roman" w:cs="Times New Roman"/>
          <w:b/>
          <w:sz w:val="20"/>
          <w:szCs w:val="20"/>
          <w:lang w:val="en-US"/>
        </w:rPr>
        <w:t>16</w:t>
      </w:r>
      <w:r w:rsidRPr="001740F2">
        <w:rPr>
          <w:rFonts w:ascii="Times New Roman" w:hAnsi="Times New Roman" w:cs="Times New Roman"/>
          <w:b/>
          <w:sz w:val="20"/>
          <w:szCs w:val="20"/>
          <w:lang w:val="en-US"/>
        </w:rPr>
        <w:t>: Calibrated international transmission of gas per year (</w:t>
      </w:r>
      <w:proofErr w:type="spellStart"/>
      <w:r w:rsidRPr="001740F2">
        <w:rPr>
          <w:rFonts w:ascii="Times New Roman" w:hAnsi="Times New Roman" w:cs="Times New Roman"/>
          <w:b/>
          <w:sz w:val="20"/>
          <w:szCs w:val="20"/>
          <w:lang w:val="en-US"/>
        </w:rPr>
        <w:t>Mtoe</w:t>
      </w:r>
      <w:proofErr w:type="spellEnd"/>
      <w:r w:rsidRPr="001740F2">
        <w:rPr>
          <w:rFonts w:ascii="Times New Roman" w:hAnsi="Times New Roman" w:cs="Times New Roman"/>
          <w:b/>
          <w:sz w:val="20"/>
          <w:szCs w:val="20"/>
          <w:lang w:val="en-US"/>
        </w:rPr>
        <w:t>)</w:t>
      </w:r>
    </w:p>
    <w:tbl>
      <w:tblPr>
        <w:tblW w:w="5969" w:type="dxa"/>
        <w:tblInd w:w="55" w:type="dxa"/>
        <w:tblCellMar>
          <w:left w:w="70" w:type="dxa"/>
          <w:right w:w="70" w:type="dxa"/>
        </w:tblCellMar>
        <w:tblLook w:val="04A0" w:firstRow="1" w:lastRow="0" w:firstColumn="1" w:lastColumn="0" w:noHBand="0" w:noVBand="1"/>
      </w:tblPr>
      <w:tblGrid>
        <w:gridCol w:w="724"/>
        <w:gridCol w:w="992"/>
        <w:gridCol w:w="709"/>
        <w:gridCol w:w="709"/>
        <w:gridCol w:w="709"/>
        <w:gridCol w:w="708"/>
        <w:gridCol w:w="709"/>
        <w:gridCol w:w="709"/>
      </w:tblGrid>
      <w:tr w:rsidR="00773556" w:rsidRPr="006E5471" w:rsidTr="00A8093A">
        <w:trPr>
          <w:trHeight w:val="300"/>
        </w:trPr>
        <w:tc>
          <w:tcPr>
            <w:tcW w:w="724" w:type="dxa"/>
            <w:tcBorders>
              <w:bottom w:val="single" w:sz="4" w:space="0" w:color="auto"/>
              <w:right w:val="single" w:sz="4" w:space="0" w:color="auto"/>
            </w:tcBorders>
            <w:shd w:val="clear" w:color="auto" w:fill="auto"/>
            <w:vAlign w:val="bottom"/>
            <w:hideMark/>
          </w:tcPr>
          <w:p w:rsidR="00773556" w:rsidRPr="00EF48F2" w:rsidRDefault="00773556" w:rsidP="00A8093A">
            <w:pPr>
              <w:spacing w:after="0" w:line="240" w:lineRule="auto"/>
              <w:rPr>
                <w:rFonts w:ascii="Times New Roman" w:eastAsia="Times New Roman" w:hAnsi="Times New Roman" w:cs="Times New Roman"/>
                <w:color w:val="000000"/>
                <w:sz w:val="16"/>
                <w:szCs w:val="16"/>
                <w:lang w:val="en-US"/>
              </w:rPr>
            </w:pPr>
            <w:r w:rsidRPr="00EF48F2">
              <w:rPr>
                <w:rFonts w:ascii="Times New Roman" w:eastAsia="Times New Roman" w:hAnsi="Times New Roman" w:cs="Times New Roman"/>
                <w:color w:val="000000"/>
                <w:sz w:val="16"/>
                <w:szCs w:val="16"/>
                <w:lang w:val="en-US"/>
              </w:rPr>
              <w:t xml:space="preserve">         </w:t>
            </w:r>
            <w:r>
              <w:rPr>
                <w:rFonts w:ascii="Times New Roman" w:eastAsia="Times New Roman" w:hAnsi="Times New Roman" w:cs="Times New Roman"/>
                <w:color w:val="000000"/>
                <w:sz w:val="16"/>
                <w:szCs w:val="16"/>
                <w:lang w:val="en-US"/>
              </w:rPr>
              <w:t xml:space="preserve"> </w:t>
            </w:r>
            <w:r w:rsidRPr="00EF48F2">
              <w:rPr>
                <w:rFonts w:ascii="Times New Roman" w:eastAsia="Times New Roman" w:hAnsi="Times New Roman" w:cs="Times New Roman"/>
                <w:color w:val="000000"/>
                <w:sz w:val="16"/>
                <w:szCs w:val="16"/>
                <w:lang w:val="en-US"/>
              </w:rPr>
              <w:t>To</w:t>
            </w:r>
          </w:p>
          <w:p w:rsidR="00773556" w:rsidRPr="001740F2" w:rsidRDefault="00773556" w:rsidP="00A8093A">
            <w:pPr>
              <w:spacing w:after="0" w:line="240" w:lineRule="auto"/>
              <w:rPr>
                <w:rFonts w:ascii="Times New Roman" w:eastAsia="Times New Roman" w:hAnsi="Times New Roman" w:cs="Times New Roman"/>
                <w:color w:val="000000"/>
                <w:sz w:val="20"/>
                <w:szCs w:val="20"/>
                <w:lang w:val="en-US"/>
              </w:rPr>
            </w:pPr>
            <w:r w:rsidRPr="00EF48F2">
              <w:rPr>
                <w:rFonts w:ascii="Times New Roman" w:eastAsia="Times New Roman" w:hAnsi="Times New Roman" w:cs="Times New Roman"/>
                <w:color w:val="000000"/>
                <w:sz w:val="16"/>
                <w:szCs w:val="16"/>
                <w:lang w:val="en-US"/>
              </w:rPr>
              <w:t>From</w:t>
            </w:r>
          </w:p>
        </w:tc>
        <w:tc>
          <w:tcPr>
            <w:tcW w:w="992" w:type="dxa"/>
            <w:tcBorders>
              <w:left w:val="single" w:sz="4" w:space="0" w:color="auto"/>
              <w:bottom w:val="single" w:sz="4" w:space="0" w:color="auto"/>
              <w:right w:val="nil"/>
            </w:tcBorders>
            <w:shd w:val="clear" w:color="auto" w:fill="auto"/>
            <w:noWrap/>
            <w:vAlign w:val="bottom"/>
            <w:hideMark/>
          </w:tcPr>
          <w:p w:rsidR="00773556" w:rsidRPr="006E5471" w:rsidRDefault="00773556" w:rsidP="00A8093A">
            <w:pPr>
              <w:spacing w:after="0" w:line="240" w:lineRule="auto"/>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EU30</w:t>
            </w:r>
          </w:p>
        </w:tc>
        <w:tc>
          <w:tcPr>
            <w:tcW w:w="709" w:type="dxa"/>
            <w:tcBorders>
              <w:left w:val="nil"/>
              <w:bottom w:val="single" w:sz="4" w:space="0" w:color="auto"/>
              <w:right w:val="nil"/>
            </w:tcBorders>
            <w:shd w:val="clear" w:color="auto" w:fill="auto"/>
            <w:noWrap/>
            <w:vAlign w:val="bottom"/>
            <w:hideMark/>
          </w:tcPr>
          <w:p w:rsidR="00773556" w:rsidRPr="006E5471" w:rsidRDefault="00773556" w:rsidP="00A8093A">
            <w:pPr>
              <w:spacing w:after="0" w:line="240" w:lineRule="auto"/>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BY</w:t>
            </w:r>
          </w:p>
        </w:tc>
        <w:tc>
          <w:tcPr>
            <w:tcW w:w="709" w:type="dxa"/>
            <w:tcBorders>
              <w:left w:val="nil"/>
              <w:bottom w:val="single" w:sz="4" w:space="0" w:color="auto"/>
              <w:right w:val="nil"/>
            </w:tcBorders>
            <w:shd w:val="clear" w:color="auto" w:fill="auto"/>
            <w:noWrap/>
            <w:vAlign w:val="bottom"/>
            <w:hideMark/>
          </w:tcPr>
          <w:p w:rsidR="00773556" w:rsidRPr="006E5471" w:rsidRDefault="00773556" w:rsidP="00A8093A">
            <w:pPr>
              <w:spacing w:after="0" w:line="240" w:lineRule="auto"/>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UA</w:t>
            </w:r>
          </w:p>
        </w:tc>
        <w:tc>
          <w:tcPr>
            <w:tcW w:w="709" w:type="dxa"/>
            <w:tcBorders>
              <w:left w:val="nil"/>
              <w:bottom w:val="single" w:sz="4" w:space="0" w:color="auto"/>
              <w:right w:val="nil"/>
            </w:tcBorders>
            <w:shd w:val="clear" w:color="auto" w:fill="auto"/>
            <w:noWrap/>
            <w:vAlign w:val="bottom"/>
            <w:hideMark/>
          </w:tcPr>
          <w:p w:rsidR="00773556" w:rsidRPr="006E5471" w:rsidRDefault="00773556" w:rsidP="00A8093A">
            <w:pPr>
              <w:spacing w:after="0" w:line="240" w:lineRule="auto"/>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ROW</w:t>
            </w:r>
          </w:p>
        </w:tc>
        <w:tc>
          <w:tcPr>
            <w:tcW w:w="708" w:type="dxa"/>
            <w:tcBorders>
              <w:left w:val="nil"/>
              <w:bottom w:val="single" w:sz="4" w:space="0" w:color="auto"/>
              <w:right w:val="nil"/>
            </w:tcBorders>
            <w:shd w:val="clear" w:color="auto" w:fill="auto"/>
            <w:noWrap/>
            <w:vAlign w:val="bottom"/>
            <w:hideMark/>
          </w:tcPr>
          <w:p w:rsidR="00773556" w:rsidRPr="006E5471" w:rsidRDefault="00773556" w:rsidP="00A8093A">
            <w:pPr>
              <w:spacing w:after="0" w:line="240" w:lineRule="auto"/>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RU1</w:t>
            </w:r>
          </w:p>
        </w:tc>
        <w:tc>
          <w:tcPr>
            <w:tcW w:w="709" w:type="dxa"/>
            <w:tcBorders>
              <w:left w:val="nil"/>
              <w:bottom w:val="single" w:sz="4" w:space="0" w:color="auto"/>
              <w:right w:val="nil"/>
            </w:tcBorders>
            <w:shd w:val="clear" w:color="auto" w:fill="auto"/>
            <w:noWrap/>
            <w:vAlign w:val="bottom"/>
            <w:hideMark/>
          </w:tcPr>
          <w:p w:rsidR="00773556" w:rsidRPr="006E5471" w:rsidRDefault="00773556" w:rsidP="00A8093A">
            <w:pPr>
              <w:spacing w:after="0" w:line="240" w:lineRule="auto"/>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RU2</w:t>
            </w:r>
          </w:p>
        </w:tc>
        <w:tc>
          <w:tcPr>
            <w:tcW w:w="709" w:type="dxa"/>
            <w:tcBorders>
              <w:left w:val="nil"/>
              <w:bottom w:val="single" w:sz="4" w:space="0" w:color="auto"/>
            </w:tcBorders>
            <w:shd w:val="clear" w:color="auto" w:fill="auto"/>
            <w:noWrap/>
            <w:vAlign w:val="bottom"/>
            <w:hideMark/>
          </w:tcPr>
          <w:p w:rsidR="00773556" w:rsidRPr="006E5471" w:rsidRDefault="00773556" w:rsidP="00A8093A">
            <w:pPr>
              <w:spacing w:after="0" w:line="240" w:lineRule="auto"/>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RU3</w:t>
            </w:r>
          </w:p>
        </w:tc>
      </w:tr>
      <w:tr w:rsidR="00773556" w:rsidRPr="006E5471" w:rsidTr="00A8093A">
        <w:trPr>
          <w:trHeight w:val="300"/>
        </w:trPr>
        <w:tc>
          <w:tcPr>
            <w:tcW w:w="724" w:type="dxa"/>
            <w:tcBorders>
              <w:top w:val="single" w:sz="4" w:space="0" w:color="auto"/>
              <w:bottom w:val="nil"/>
              <w:right w:val="single" w:sz="4" w:space="0" w:color="auto"/>
            </w:tcBorders>
            <w:shd w:val="clear" w:color="auto" w:fill="auto"/>
            <w:noWrap/>
            <w:vAlign w:val="bottom"/>
            <w:hideMark/>
          </w:tcPr>
          <w:p w:rsidR="00773556" w:rsidRPr="006E5471" w:rsidRDefault="00773556" w:rsidP="00A8093A">
            <w:pPr>
              <w:spacing w:after="0" w:line="240" w:lineRule="auto"/>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EU30</w:t>
            </w:r>
          </w:p>
        </w:tc>
        <w:tc>
          <w:tcPr>
            <w:tcW w:w="992" w:type="dxa"/>
            <w:tcBorders>
              <w:top w:val="single" w:sz="4" w:space="0" w:color="auto"/>
              <w:left w:val="single" w:sz="4" w:space="0" w:color="auto"/>
              <w:bottom w:val="nil"/>
              <w:right w:val="nil"/>
            </w:tcBorders>
            <w:shd w:val="clear" w:color="auto" w:fill="auto"/>
            <w:noWrap/>
            <w:vAlign w:val="bottom"/>
            <w:hideMark/>
          </w:tcPr>
          <w:p w:rsidR="00773556" w:rsidRPr="006E5471" w:rsidRDefault="00773556" w:rsidP="00A8093A">
            <w:pPr>
              <w:spacing w:after="0" w:line="240" w:lineRule="auto"/>
              <w:jc w:val="center"/>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w:t>
            </w:r>
          </w:p>
        </w:tc>
        <w:tc>
          <w:tcPr>
            <w:tcW w:w="709" w:type="dxa"/>
            <w:tcBorders>
              <w:top w:val="single" w:sz="4" w:space="0" w:color="auto"/>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single" w:sz="4" w:space="0" w:color="auto"/>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single" w:sz="4" w:space="0" w:color="auto"/>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8" w:type="dxa"/>
            <w:tcBorders>
              <w:top w:val="single" w:sz="4" w:space="0" w:color="auto"/>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single" w:sz="4" w:space="0" w:color="auto"/>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single" w:sz="4" w:space="0" w:color="auto"/>
              <w:left w:val="nil"/>
              <w:bottom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r>
      <w:tr w:rsidR="00773556" w:rsidRPr="006E5471" w:rsidTr="00A8093A">
        <w:trPr>
          <w:trHeight w:val="300"/>
        </w:trPr>
        <w:tc>
          <w:tcPr>
            <w:tcW w:w="724" w:type="dxa"/>
            <w:tcBorders>
              <w:top w:val="nil"/>
              <w:bottom w:val="nil"/>
              <w:right w:val="single" w:sz="4" w:space="0" w:color="auto"/>
            </w:tcBorders>
            <w:shd w:val="clear" w:color="auto" w:fill="auto"/>
            <w:noWrap/>
            <w:vAlign w:val="bottom"/>
            <w:hideMark/>
          </w:tcPr>
          <w:p w:rsidR="00773556" w:rsidRPr="006E5471" w:rsidRDefault="00773556" w:rsidP="00A8093A">
            <w:pPr>
              <w:spacing w:after="0" w:line="240" w:lineRule="auto"/>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BY</w:t>
            </w:r>
          </w:p>
        </w:tc>
        <w:tc>
          <w:tcPr>
            <w:tcW w:w="992" w:type="dxa"/>
            <w:tcBorders>
              <w:top w:val="nil"/>
              <w:left w:val="single" w:sz="4" w:space="0" w:color="auto"/>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8.44</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center"/>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8"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bottom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r>
      <w:tr w:rsidR="00773556" w:rsidRPr="006E5471" w:rsidTr="00A8093A">
        <w:trPr>
          <w:trHeight w:val="300"/>
        </w:trPr>
        <w:tc>
          <w:tcPr>
            <w:tcW w:w="724" w:type="dxa"/>
            <w:tcBorders>
              <w:top w:val="nil"/>
              <w:bottom w:val="nil"/>
              <w:right w:val="single" w:sz="4" w:space="0" w:color="auto"/>
            </w:tcBorders>
            <w:shd w:val="clear" w:color="auto" w:fill="auto"/>
            <w:noWrap/>
            <w:vAlign w:val="bottom"/>
            <w:hideMark/>
          </w:tcPr>
          <w:p w:rsidR="00773556" w:rsidRPr="006E5471" w:rsidRDefault="00773556" w:rsidP="00A8093A">
            <w:pPr>
              <w:spacing w:after="0" w:line="240" w:lineRule="auto"/>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UA</w:t>
            </w:r>
          </w:p>
        </w:tc>
        <w:tc>
          <w:tcPr>
            <w:tcW w:w="992" w:type="dxa"/>
            <w:tcBorders>
              <w:top w:val="nil"/>
              <w:left w:val="single" w:sz="4" w:space="0" w:color="auto"/>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84.99</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center"/>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8"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bottom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r>
      <w:tr w:rsidR="00773556" w:rsidRPr="006E5471" w:rsidTr="00A8093A">
        <w:trPr>
          <w:trHeight w:val="300"/>
        </w:trPr>
        <w:tc>
          <w:tcPr>
            <w:tcW w:w="724" w:type="dxa"/>
            <w:tcBorders>
              <w:top w:val="nil"/>
              <w:bottom w:val="nil"/>
              <w:right w:val="single" w:sz="4" w:space="0" w:color="auto"/>
            </w:tcBorders>
            <w:shd w:val="clear" w:color="auto" w:fill="auto"/>
            <w:noWrap/>
            <w:vAlign w:val="bottom"/>
            <w:hideMark/>
          </w:tcPr>
          <w:p w:rsidR="00773556" w:rsidRPr="006E5471" w:rsidRDefault="00773556" w:rsidP="00A8093A">
            <w:pPr>
              <w:spacing w:after="0" w:line="240" w:lineRule="auto"/>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ROW</w:t>
            </w:r>
          </w:p>
        </w:tc>
        <w:tc>
          <w:tcPr>
            <w:tcW w:w="992" w:type="dxa"/>
            <w:tcBorders>
              <w:top w:val="nil"/>
              <w:left w:val="single" w:sz="4" w:space="0" w:color="auto"/>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center"/>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w:t>
            </w:r>
          </w:p>
        </w:tc>
        <w:tc>
          <w:tcPr>
            <w:tcW w:w="708"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24.49</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bottom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r>
      <w:tr w:rsidR="00773556" w:rsidRPr="006E5471" w:rsidTr="00A8093A">
        <w:trPr>
          <w:trHeight w:val="300"/>
        </w:trPr>
        <w:tc>
          <w:tcPr>
            <w:tcW w:w="724" w:type="dxa"/>
            <w:tcBorders>
              <w:top w:val="nil"/>
              <w:bottom w:val="nil"/>
              <w:right w:val="single" w:sz="4" w:space="0" w:color="auto"/>
            </w:tcBorders>
            <w:shd w:val="clear" w:color="auto" w:fill="auto"/>
            <w:noWrap/>
            <w:vAlign w:val="bottom"/>
            <w:hideMark/>
          </w:tcPr>
          <w:p w:rsidR="00773556" w:rsidRPr="006E5471" w:rsidRDefault="00773556" w:rsidP="00A8093A">
            <w:pPr>
              <w:spacing w:after="0" w:line="240" w:lineRule="auto"/>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RU1</w:t>
            </w:r>
          </w:p>
        </w:tc>
        <w:tc>
          <w:tcPr>
            <w:tcW w:w="992" w:type="dxa"/>
            <w:tcBorders>
              <w:top w:val="nil"/>
              <w:left w:val="single" w:sz="4" w:space="0" w:color="auto"/>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3.81</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23.13</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111.36</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8"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center"/>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bottom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r>
      <w:tr w:rsidR="00773556" w:rsidRPr="006E5471" w:rsidTr="00A8093A">
        <w:trPr>
          <w:trHeight w:val="300"/>
        </w:trPr>
        <w:tc>
          <w:tcPr>
            <w:tcW w:w="724" w:type="dxa"/>
            <w:tcBorders>
              <w:top w:val="nil"/>
              <w:bottom w:val="nil"/>
              <w:right w:val="single" w:sz="4" w:space="0" w:color="auto"/>
            </w:tcBorders>
            <w:shd w:val="clear" w:color="auto" w:fill="auto"/>
            <w:noWrap/>
            <w:vAlign w:val="bottom"/>
            <w:hideMark/>
          </w:tcPr>
          <w:p w:rsidR="00773556" w:rsidRPr="006E5471" w:rsidRDefault="00773556" w:rsidP="00A8093A">
            <w:pPr>
              <w:spacing w:after="0" w:line="240" w:lineRule="auto"/>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RU2</w:t>
            </w:r>
          </w:p>
        </w:tc>
        <w:tc>
          <w:tcPr>
            <w:tcW w:w="992" w:type="dxa"/>
            <w:tcBorders>
              <w:top w:val="nil"/>
              <w:left w:val="single" w:sz="4" w:space="0" w:color="auto"/>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8"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345.80</w:t>
            </w:r>
          </w:p>
        </w:tc>
        <w:tc>
          <w:tcPr>
            <w:tcW w:w="709" w:type="dxa"/>
            <w:tcBorders>
              <w:top w:val="nil"/>
              <w:left w:val="nil"/>
              <w:bottom w:val="nil"/>
              <w:right w:val="nil"/>
            </w:tcBorders>
            <w:shd w:val="clear" w:color="auto" w:fill="auto"/>
            <w:noWrap/>
            <w:vAlign w:val="bottom"/>
            <w:hideMark/>
          </w:tcPr>
          <w:p w:rsidR="00773556" w:rsidRPr="006E5471" w:rsidRDefault="00773556" w:rsidP="00A8093A">
            <w:pPr>
              <w:spacing w:after="0" w:line="240" w:lineRule="auto"/>
              <w:jc w:val="center"/>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w:t>
            </w:r>
          </w:p>
        </w:tc>
        <w:tc>
          <w:tcPr>
            <w:tcW w:w="709" w:type="dxa"/>
            <w:tcBorders>
              <w:top w:val="nil"/>
              <w:left w:val="nil"/>
              <w:bottom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3.16</w:t>
            </w:r>
          </w:p>
        </w:tc>
      </w:tr>
      <w:tr w:rsidR="00773556" w:rsidRPr="006E5471" w:rsidTr="00A8093A">
        <w:trPr>
          <w:trHeight w:val="300"/>
        </w:trPr>
        <w:tc>
          <w:tcPr>
            <w:tcW w:w="724" w:type="dxa"/>
            <w:tcBorders>
              <w:top w:val="nil"/>
              <w:right w:val="single" w:sz="4" w:space="0" w:color="auto"/>
            </w:tcBorders>
            <w:shd w:val="clear" w:color="auto" w:fill="auto"/>
            <w:noWrap/>
            <w:vAlign w:val="bottom"/>
            <w:hideMark/>
          </w:tcPr>
          <w:p w:rsidR="00773556" w:rsidRPr="006E5471" w:rsidRDefault="00773556" w:rsidP="00A8093A">
            <w:pPr>
              <w:spacing w:after="0" w:line="240" w:lineRule="auto"/>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RU3</w:t>
            </w:r>
          </w:p>
        </w:tc>
        <w:tc>
          <w:tcPr>
            <w:tcW w:w="992" w:type="dxa"/>
            <w:tcBorders>
              <w:top w:val="nil"/>
              <w:left w:val="single" w:sz="4" w:space="0" w:color="auto"/>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7.33</w:t>
            </w:r>
          </w:p>
        </w:tc>
        <w:tc>
          <w:tcPr>
            <w:tcW w:w="708" w:type="dxa"/>
            <w:tcBorders>
              <w:top w:val="nil"/>
              <w:left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right w:val="nil"/>
            </w:tcBorders>
            <w:shd w:val="clear" w:color="auto" w:fill="auto"/>
            <w:noWrap/>
            <w:vAlign w:val="bottom"/>
            <w:hideMark/>
          </w:tcPr>
          <w:p w:rsidR="00773556" w:rsidRPr="006E5471" w:rsidRDefault="00773556" w:rsidP="00A8093A">
            <w:pPr>
              <w:spacing w:after="0" w:line="240" w:lineRule="auto"/>
              <w:jc w:val="right"/>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0</w:t>
            </w:r>
          </w:p>
        </w:tc>
        <w:tc>
          <w:tcPr>
            <w:tcW w:w="709" w:type="dxa"/>
            <w:tcBorders>
              <w:top w:val="nil"/>
              <w:left w:val="nil"/>
            </w:tcBorders>
            <w:shd w:val="clear" w:color="auto" w:fill="auto"/>
            <w:noWrap/>
            <w:vAlign w:val="bottom"/>
            <w:hideMark/>
          </w:tcPr>
          <w:p w:rsidR="00773556" w:rsidRPr="006E5471" w:rsidRDefault="00773556" w:rsidP="00A8093A">
            <w:pPr>
              <w:spacing w:after="0" w:line="240" w:lineRule="auto"/>
              <w:jc w:val="center"/>
              <w:rPr>
                <w:rFonts w:ascii="Times New Roman" w:eastAsia="Times New Roman" w:hAnsi="Times New Roman" w:cs="Times New Roman"/>
                <w:color w:val="000000"/>
                <w:sz w:val="20"/>
                <w:szCs w:val="20"/>
              </w:rPr>
            </w:pPr>
            <w:r w:rsidRPr="006E5471">
              <w:rPr>
                <w:rFonts w:ascii="Times New Roman" w:eastAsia="Times New Roman" w:hAnsi="Times New Roman" w:cs="Times New Roman"/>
                <w:color w:val="000000"/>
                <w:sz w:val="20"/>
                <w:szCs w:val="20"/>
              </w:rPr>
              <w:t>-</w:t>
            </w:r>
          </w:p>
        </w:tc>
      </w:tr>
    </w:tbl>
    <w:p w:rsidR="00773556" w:rsidRPr="001740F2" w:rsidRDefault="00773556" w:rsidP="00773556">
      <w:pPr>
        <w:rPr>
          <w:rFonts w:ascii="Times New Roman" w:hAnsi="Times New Roman" w:cs="Times New Roman"/>
          <w:b/>
          <w:sz w:val="20"/>
          <w:szCs w:val="20"/>
          <w:lang w:val="en-US"/>
        </w:rPr>
      </w:pPr>
    </w:p>
    <w:p w:rsidR="00773556" w:rsidRDefault="00773556" w:rsidP="00773556">
      <w:pPr>
        <w:jc w:val="both"/>
        <w:rPr>
          <w:rFonts w:ascii="Times New Roman" w:hAnsi="Times New Roman" w:cs="Times New Roman"/>
          <w:lang w:val="en-GB"/>
        </w:rPr>
      </w:pPr>
      <w:r>
        <w:rPr>
          <w:rFonts w:ascii="Times New Roman" w:hAnsi="Times New Roman" w:cs="Times New Roman"/>
          <w:lang w:val="en-GB"/>
        </w:rPr>
        <w:t xml:space="preserve">SO (2011) has a table showing transmission of </w:t>
      </w:r>
      <w:r>
        <w:rPr>
          <w:rFonts w:ascii="Times New Roman" w:hAnsi="Times New Roman" w:cs="Times New Roman"/>
          <w:i/>
          <w:lang w:val="en-GB"/>
        </w:rPr>
        <w:t>e</w:t>
      </w:r>
      <w:r w:rsidRPr="007968C8">
        <w:rPr>
          <w:rFonts w:ascii="Times New Roman" w:hAnsi="Times New Roman" w:cs="Times New Roman"/>
          <w:i/>
          <w:lang w:val="en-GB"/>
        </w:rPr>
        <w:t>lectricity</w:t>
      </w:r>
      <w:r w:rsidRPr="00085FA6">
        <w:rPr>
          <w:rFonts w:ascii="Times New Roman" w:hAnsi="Times New Roman" w:cs="Times New Roman"/>
          <w:lang w:val="en-GB"/>
        </w:rPr>
        <w:t xml:space="preserve"> between the seven federal </w:t>
      </w:r>
      <w:r>
        <w:rPr>
          <w:rFonts w:ascii="Times New Roman" w:hAnsi="Times New Roman" w:cs="Times New Roman"/>
          <w:lang w:val="en-GB"/>
        </w:rPr>
        <w:t>districts</w:t>
      </w:r>
      <w:r w:rsidRPr="00085FA6">
        <w:rPr>
          <w:rFonts w:ascii="Times New Roman" w:hAnsi="Times New Roman" w:cs="Times New Roman"/>
          <w:lang w:val="en-GB"/>
        </w:rPr>
        <w:t xml:space="preserve"> (SO 2011). This data has been aggregated to fit the LIBEMOD-regions. </w:t>
      </w:r>
      <w:r>
        <w:rPr>
          <w:rFonts w:ascii="Times New Roman" w:hAnsi="Times New Roman" w:cs="Times New Roman"/>
          <w:lang w:val="en-GB"/>
        </w:rPr>
        <w:t xml:space="preserve">There is a slight inconsistency between how the regional power systems are set up and the federal districts that the model regions are based on. In the base year the flows between the regions have been adjusted slightly to ensure consistency within each region. The discrepancy is a result of having to make various assumptions regarding the production and consumption for each region. All electricity traded takes place between the consumption nodes.   </w:t>
      </w:r>
    </w:p>
    <w:p w:rsidR="00773556" w:rsidRDefault="00773556" w:rsidP="00773556">
      <w:pPr>
        <w:jc w:val="both"/>
        <w:rPr>
          <w:rFonts w:ascii="Times New Roman" w:hAnsi="Times New Roman" w:cs="Times New Roman"/>
          <w:lang w:val="en-GB"/>
        </w:rPr>
      </w:pPr>
      <w:r>
        <w:rPr>
          <w:rFonts w:ascii="Times New Roman" w:hAnsi="Times New Roman" w:cs="Times New Roman"/>
          <w:lang w:val="en-GB"/>
        </w:rPr>
        <w:t xml:space="preserve">No </w:t>
      </w:r>
      <w:r w:rsidRPr="00085FA6">
        <w:rPr>
          <w:rFonts w:ascii="Times New Roman" w:hAnsi="Times New Roman" w:cs="Times New Roman"/>
          <w:lang w:val="en-GB"/>
        </w:rPr>
        <w:t xml:space="preserve">biomass </w:t>
      </w:r>
      <w:r>
        <w:rPr>
          <w:rFonts w:ascii="Times New Roman" w:hAnsi="Times New Roman" w:cs="Times New Roman"/>
          <w:lang w:val="en-GB"/>
        </w:rPr>
        <w:t xml:space="preserve">trade takes place </w:t>
      </w:r>
      <w:r w:rsidRPr="00085FA6">
        <w:rPr>
          <w:rFonts w:ascii="Times New Roman" w:hAnsi="Times New Roman" w:cs="Times New Roman"/>
          <w:lang w:val="en-GB"/>
        </w:rPr>
        <w:t>between the three Russian regions in the base year. This is due to lack of data and the low level of produced bi</w:t>
      </w:r>
      <w:r>
        <w:rPr>
          <w:rFonts w:ascii="Times New Roman" w:hAnsi="Times New Roman" w:cs="Times New Roman"/>
          <w:lang w:val="en-GB"/>
        </w:rPr>
        <w:t>omass in Russia in 2009 (IEA 2010)</w:t>
      </w:r>
      <w:r w:rsidRPr="00085FA6">
        <w:rPr>
          <w:rFonts w:ascii="Times New Roman" w:hAnsi="Times New Roman" w:cs="Times New Roman"/>
          <w:lang w:val="en-GB"/>
        </w:rPr>
        <w:t xml:space="preserve">. </w:t>
      </w:r>
      <w:r>
        <w:rPr>
          <w:rFonts w:ascii="Times New Roman" w:hAnsi="Times New Roman" w:cs="Times New Roman"/>
          <w:lang w:val="en-GB"/>
        </w:rPr>
        <w:t xml:space="preserve">RU1 trades with the European countries in the same way as Russia did as an exogenous country. </w:t>
      </w:r>
    </w:p>
    <w:p w:rsidR="00773556" w:rsidRDefault="00773556" w:rsidP="00773556">
      <w:pPr>
        <w:pStyle w:val="Heading3"/>
        <w:jc w:val="both"/>
        <w:rPr>
          <w:lang w:val="en-GB"/>
        </w:rPr>
      </w:pPr>
      <w:r>
        <w:rPr>
          <w:lang w:val="en-GB"/>
        </w:rPr>
        <w:br/>
      </w:r>
      <w:bookmarkStart w:id="3" w:name="_Toc386631745"/>
      <w:r>
        <w:rPr>
          <w:lang w:val="en-GB"/>
        </w:rPr>
        <w:t>3.7.3 Prices and Taxes</w:t>
      </w:r>
      <w:bookmarkEnd w:id="3"/>
    </w:p>
    <w:p w:rsidR="00773556" w:rsidRPr="00085FA6" w:rsidRDefault="00773556" w:rsidP="00773556">
      <w:pPr>
        <w:jc w:val="both"/>
        <w:rPr>
          <w:rFonts w:ascii="Times New Roman" w:hAnsi="Times New Roman" w:cs="Times New Roman"/>
          <w:lang w:val="en-GB"/>
        </w:rPr>
      </w:pPr>
      <w:r>
        <w:rPr>
          <w:rFonts w:ascii="Times New Roman" w:hAnsi="Times New Roman" w:cs="Times New Roman"/>
          <w:lang w:val="en-GB"/>
        </w:rPr>
        <w:t>IEA 2011 (</w:t>
      </w:r>
      <w:r w:rsidRPr="00085FA6">
        <w:rPr>
          <w:rFonts w:ascii="Times New Roman" w:hAnsi="Times New Roman" w:cs="Times New Roman"/>
          <w:lang w:val="en-GB"/>
        </w:rPr>
        <w:t>Energy Prices and Taxes</w:t>
      </w:r>
      <w:r>
        <w:rPr>
          <w:rFonts w:ascii="Times New Roman" w:hAnsi="Times New Roman" w:cs="Times New Roman"/>
          <w:lang w:val="en-GB"/>
        </w:rPr>
        <w:t>)</w:t>
      </w:r>
      <w:r w:rsidRPr="00085FA6">
        <w:rPr>
          <w:rFonts w:ascii="Times New Roman" w:hAnsi="Times New Roman" w:cs="Times New Roman"/>
          <w:lang w:val="en-GB"/>
        </w:rPr>
        <w:t xml:space="preserve"> provides prices for some sectors for Russia in 2009. However, </w:t>
      </w:r>
      <w:r>
        <w:rPr>
          <w:rFonts w:ascii="Times New Roman" w:hAnsi="Times New Roman" w:cs="Times New Roman"/>
          <w:lang w:val="en-GB"/>
        </w:rPr>
        <w:t>because the price</w:t>
      </w:r>
      <w:r w:rsidRPr="00085FA6">
        <w:rPr>
          <w:rFonts w:ascii="Times New Roman" w:hAnsi="Times New Roman" w:cs="Times New Roman"/>
          <w:lang w:val="en-GB"/>
        </w:rPr>
        <w:t xml:space="preserve"> of for instance gas and electricity var</w:t>
      </w:r>
      <w:r>
        <w:rPr>
          <w:rFonts w:ascii="Times New Roman" w:hAnsi="Times New Roman" w:cs="Times New Roman"/>
          <w:lang w:val="en-GB"/>
        </w:rPr>
        <w:t>ies</w:t>
      </w:r>
      <w:r w:rsidRPr="00085FA6">
        <w:rPr>
          <w:rFonts w:ascii="Times New Roman" w:hAnsi="Times New Roman" w:cs="Times New Roman"/>
          <w:lang w:val="en-GB"/>
        </w:rPr>
        <w:t xml:space="preserve"> considerably between regions and user groups various Russian sources </w:t>
      </w:r>
      <w:r>
        <w:rPr>
          <w:rFonts w:ascii="Times New Roman" w:hAnsi="Times New Roman" w:cs="Times New Roman"/>
          <w:lang w:val="en-GB"/>
        </w:rPr>
        <w:t xml:space="preserve">have been consulted </w:t>
      </w:r>
      <w:r w:rsidRPr="00085FA6">
        <w:rPr>
          <w:rFonts w:ascii="Times New Roman" w:hAnsi="Times New Roman" w:cs="Times New Roman"/>
          <w:lang w:val="en-GB"/>
        </w:rPr>
        <w:t xml:space="preserve">to </w:t>
      </w:r>
      <w:r>
        <w:rPr>
          <w:rFonts w:ascii="Times New Roman" w:hAnsi="Times New Roman" w:cs="Times New Roman"/>
          <w:lang w:val="en-GB"/>
        </w:rPr>
        <w:t>create a</w:t>
      </w:r>
      <w:r w:rsidRPr="00085FA6">
        <w:rPr>
          <w:rFonts w:ascii="Times New Roman" w:hAnsi="Times New Roman" w:cs="Times New Roman"/>
          <w:lang w:val="en-GB"/>
        </w:rPr>
        <w:t xml:space="preserve"> more representative set of prices for each </w:t>
      </w:r>
      <w:r>
        <w:rPr>
          <w:rFonts w:ascii="Times New Roman" w:hAnsi="Times New Roman" w:cs="Times New Roman"/>
          <w:lang w:val="en-GB"/>
        </w:rPr>
        <w:t>LIBEMOD-</w:t>
      </w:r>
      <w:r w:rsidRPr="00085FA6">
        <w:rPr>
          <w:rFonts w:ascii="Times New Roman" w:hAnsi="Times New Roman" w:cs="Times New Roman"/>
          <w:lang w:val="en-GB"/>
        </w:rPr>
        <w:t xml:space="preserve">region. </w:t>
      </w:r>
      <w:r>
        <w:rPr>
          <w:rFonts w:ascii="Times New Roman" w:hAnsi="Times New Roman" w:cs="Times New Roman"/>
          <w:lang w:val="en-GB"/>
        </w:rPr>
        <w:t>Two</w:t>
      </w:r>
      <w:r w:rsidRPr="00085FA6">
        <w:rPr>
          <w:rFonts w:ascii="Times New Roman" w:hAnsi="Times New Roman" w:cs="Times New Roman"/>
          <w:lang w:val="en-GB"/>
        </w:rPr>
        <w:t xml:space="preserve"> </w:t>
      </w:r>
      <w:r>
        <w:rPr>
          <w:rFonts w:ascii="Times New Roman" w:hAnsi="Times New Roman" w:cs="Times New Roman"/>
          <w:lang w:val="en-GB"/>
        </w:rPr>
        <w:t>s</w:t>
      </w:r>
      <w:r w:rsidRPr="00085FA6">
        <w:rPr>
          <w:rFonts w:ascii="Times New Roman" w:hAnsi="Times New Roman" w:cs="Times New Roman"/>
          <w:lang w:val="en-GB"/>
        </w:rPr>
        <w:t>cenario reports published by the Agency for Forecasting (under the Ministry of Energy of the Russian Federation) have forecast prices for each of the seven federal regions</w:t>
      </w:r>
      <w:r>
        <w:rPr>
          <w:rFonts w:ascii="Times New Roman" w:hAnsi="Times New Roman" w:cs="Times New Roman"/>
          <w:lang w:val="en-GB"/>
        </w:rPr>
        <w:t xml:space="preserve"> for 2009 and 2010</w:t>
      </w:r>
      <w:r w:rsidRPr="00085FA6">
        <w:rPr>
          <w:rFonts w:ascii="Times New Roman" w:hAnsi="Times New Roman" w:cs="Times New Roman"/>
          <w:lang w:val="en-GB"/>
        </w:rPr>
        <w:t xml:space="preserve">. </w:t>
      </w:r>
      <w:r>
        <w:rPr>
          <w:rFonts w:ascii="Times New Roman" w:hAnsi="Times New Roman" w:cs="Times New Roman"/>
          <w:lang w:val="en-GB"/>
        </w:rPr>
        <w:t>T</w:t>
      </w:r>
      <w:r w:rsidRPr="00085FA6">
        <w:rPr>
          <w:rFonts w:ascii="Times New Roman" w:hAnsi="Times New Roman" w:cs="Times New Roman"/>
          <w:lang w:val="en-GB"/>
        </w:rPr>
        <w:t xml:space="preserve">hese prices </w:t>
      </w:r>
      <w:r>
        <w:rPr>
          <w:rFonts w:ascii="Times New Roman" w:hAnsi="Times New Roman" w:cs="Times New Roman"/>
          <w:lang w:val="en-GB"/>
        </w:rPr>
        <w:t xml:space="preserve">are not used </w:t>
      </w:r>
      <w:r w:rsidRPr="00085FA6">
        <w:rPr>
          <w:rFonts w:ascii="Times New Roman" w:hAnsi="Times New Roman" w:cs="Times New Roman"/>
          <w:lang w:val="en-GB"/>
        </w:rPr>
        <w:t xml:space="preserve">directly, </w:t>
      </w:r>
      <w:r>
        <w:rPr>
          <w:rFonts w:ascii="Times New Roman" w:hAnsi="Times New Roman" w:cs="Times New Roman"/>
          <w:lang w:val="en-GB"/>
        </w:rPr>
        <w:t xml:space="preserve">but </w:t>
      </w:r>
      <w:r w:rsidRPr="00085FA6">
        <w:rPr>
          <w:rFonts w:ascii="Times New Roman" w:hAnsi="Times New Roman" w:cs="Times New Roman"/>
          <w:lang w:val="en-GB"/>
        </w:rPr>
        <w:t xml:space="preserve">they give an idea of how the prices differ between regions. </w:t>
      </w:r>
      <w:r>
        <w:rPr>
          <w:rFonts w:ascii="Times New Roman" w:hAnsi="Times New Roman" w:cs="Times New Roman"/>
          <w:lang w:val="en-GB"/>
        </w:rPr>
        <w:t>This</w:t>
      </w:r>
      <w:r w:rsidRPr="00085FA6">
        <w:rPr>
          <w:rFonts w:ascii="Times New Roman" w:hAnsi="Times New Roman" w:cs="Times New Roman"/>
          <w:lang w:val="en-GB"/>
        </w:rPr>
        <w:t xml:space="preserve"> information </w:t>
      </w:r>
      <w:r>
        <w:rPr>
          <w:rFonts w:ascii="Times New Roman" w:hAnsi="Times New Roman" w:cs="Times New Roman"/>
          <w:lang w:val="en-GB"/>
        </w:rPr>
        <w:t xml:space="preserve">has been used </w:t>
      </w:r>
      <w:r w:rsidRPr="00085FA6">
        <w:rPr>
          <w:rFonts w:ascii="Times New Roman" w:hAnsi="Times New Roman" w:cs="Times New Roman"/>
          <w:lang w:val="en-GB"/>
        </w:rPr>
        <w:t>to create regional prices based on the national price from the IEA (Energy Prices and Taxes)</w:t>
      </w:r>
      <w:r>
        <w:rPr>
          <w:rFonts w:ascii="Times New Roman" w:hAnsi="Times New Roman" w:cs="Times New Roman"/>
          <w:lang w:val="en-GB"/>
        </w:rPr>
        <w:t>.</w:t>
      </w:r>
      <w:r>
        <w:rPr>
          <w:rStyle w:val="FootnoteReference"/>
          <w:rFonts w:ascii="Times New Roman" w:hAnsi="Times New Roman" w:cs="Times New Roman"/>
          <w:lang w:val="en-GB"/>
        </w:rPr>
        <w:footnoteReference w:id="7"/>
      </w:r>
      <w:r w:rsidRPr="00085FA6">
        <w:rPr>
          <w:rFonts w:ascii="Times New Roman" w:hAnsi="Times New Roman" w:cs="Times New Roman"/>
          <w:lang w:val="en-GB"/>
        </w:rPr>
        <w:t xml:space="preserve"> In the cases where </w:t>
      </w:r>
      <w:r>
        <w:rPr>
          <w:rFonts w:ascii="Times New Roman" w:hAnsi="Times New Roman" w:cs="Times New Roman"/>
          <w:lang w:val="en-GB"/>
        </w:rPr>
        <w:t>it has not been possible</w:t>
      </w:r>
      <w:r w:rsidRPr="00085FA6">
        <w:rPr>
          <w:rFonts w:ascii="Times New Roman" w:hAnsi="Times New Roman" w:cs="Times New Roman"/>
          <w:lang w:val="en-GB"/>
        </w:rPr>
        <w:t xml:space="preserve"> to find a regional price for an energy source, assumptions </w:t>
      </w:r>
      <w:r>
        <w:rPr>
          <w:rFonts w:ascii="Times New Roman" w:hAnsi="Times New Roman" w:cs="Times New Roman"/>
          <w:lang w:val="en-GB"/>
        </w:rPr>
        <w:t xml:space="preserve">have been made </w:t>
      </w:r>
      <w:r w:rsidRPr="00085FA6">
        <w:rPr>
          <w:rFonts w:ascii="Times New Roman" w:hAnsi="Times New Roman" w:cs="Times New Roman"/>
          <w:lang w:val="en-GB"/>
        </w:rPr>
        <w:t xml:space="preserve">based on the </w:t>
      </w:r>
      <w:r>
        <w:rPr>
          <w:rFonts w:ascii="Times New Roman" w:hAnsi="Times New Roman" w:cs="Times New Roman"/>
          <w:lang w:val="en-GB"/>
        </w:rPr>
        <w:t xml:space="preserve">available </w:t>
      </w:r>
      <w:r w:rsidRPr="00085FA6">
        <w:rPr>
          <w:rFonts w:ascii="Times New Roman" w:hAnsi="Times New Roman" w:cs="Times New Roman"/>
          <w:lang w:val="en-GB"/>
        </w:rPr>
        <w:t>information.</w:t>
      </w:r>
    </w:p>
    <w:p w:rsidR="00773556" w:rsidRPr="00085FA6" w:rsidRDefault="00773556" w:rsidP="00773556">
      <w:pPr>
        <w:jc w:val="both"/>
        <w:rPr>
          <w:rFonts w:ascii="Times New Roman" w:hAnsi="Times New Roman" w:cs="Times New Roman"/>
          <w:lang w:val="en-GB"/>
        </w:rPr>
      </w:pPr>
      <w:r>
        <w:rPr>
          <w:rFonts w:ascii="Times New Roman" w:hAnsi="Times New Roman" w:cs="Times New Roman"/>
          <w:lang w:val="en-GB"/>
        </w:rPr>
        <w:t xml:space="preserve">ABPE (2011) has a set of </w:t>
      </w:r>
      <w:r w:rsidRPr="0066514C">
        <w:rPr>
          <w:rFonts w:ascii="Times New Roman" w:hAnsi="Times New Roman" w:cs="Times New Roman"/>
          <w:i/>
          <w:lang w:val="en-GB"/>
        </w:rPr>
        <w:t xml:space="preserve">electricity </w:t>
      </w:r>
      <w:r>
        <w:rPr>
          <w:rFonts w:ascii="Times New Roman" w:hAnsi="Times New Roman" w:cs="Times New Roman"/>
          <w:lang w:val="en-GB"/>
        </w:rPr>
        <w:t xml:space="preserve">prices by consumer group for each of the federal districts in 2009. The prices for each of the three model regions have been found by taking the weighted average of the prices in the relevant federal districts. The source has prices for 8 different consumer groups. “Industry” has been used for the industry sector, “non-industrial consumers” for the service sector and an </w:t>
      </w:r>
      <w:proofErr w:type="spellStart"/>
      <w:r>
        <w:rPr>
          <w:rFonts w:ascii="Times New Roman" w:hAnsi="Times New Roman" w:cs="Times New Roman"/>
          <w:lang w:val="en-GB"/>
        </w:rPr>
        <w:t>unweighted</w:t>
      </w:r>
      <w:proofErr w:type="spellEnd"/>
      <w:r>
        <w:rPr>
          <w:rFonts w:ascii="Times New Roman" w:hAnsi="Times New Roman" w:cs="Times New Roman"/>
          <w:lang w:val="en-GB"/>
        </w:rPr>
        <w:t xml:space="preserve"> average of “urban population” and “rural population” for the household sector. </w:t>
      </w:r>
    </w:p>
    <w:p w:rsidR="00773556" w:rsidRPr="00085FA6" w:rsidRDefault="00773556" w:rsidP="00773556">
      <w:pPr>
        <w:jc w:val="both"/>
        <w:rPr>
          <w:rFonts w:ascii="Times New Roman" w:hAnsi="Times New Roman" w:cs="Times New Roman"/>
          <w:lang w:val="en-GB"/>
        </w:rPr>
      </w:pPr>
      <w:r w:rsidRPr="00085FA6">
        <w:rPr>
          <w:rFonts w:ascii="Times New Roman" w:hAnsi="Times New Roman" w:cs="Times New Roman"/>
          <w:lang w:val="en-GB"/>
        </w:rPr>
        <w:t xml:space="preserve">Finding end-user prices for the different sectors for natural gas has not been straightforward. </w:t>
      </w:r>
      <w:r>
        <w:rPr>
          <w:rFonts w:ascii="Times New Roman" w:hAnsi="Times New Roman" w:cs="Times New Roman"/>
          <w:lang w:val="en-GB"/>
        </w:rPr>
        <w:t>Two</w:t>
      </w:r>
      <w:r w:rsidRPr="00085FA6">
        <w:rPr>
          <w:rFonts w:ascii="Times New Roman" w:hAnsi="Times New Roman" w:cs="Times New Roman"/>
          <w:lang w:val="en-GB"/>
        </w:rPr>
        <w:t xml:space="preserve"> sets of tariffs for the 83 regions for gas from the Federal Tariff Service </w:t>
      </w:r>
      <w:r>
        <w:rPr>
          <w:rFonts w:ascii="Times New Roman" w:hAnsi="Times New Roman" w:cs="Times New Roman"/>
          <w:lang w:val="en-GB"/>
        </w:rPr>
        <w:t xml:space="preserve">(FTS) </w:t>
      </w:r>
      <w:r w:rsidRPr="00085FA6">
        <w:rPr>
          <w:rFonts w:ascii="Times New Roman" w:hAnsi="Times New Roman" w:cs="Times New Roman"/>
          <w:lang w:val="en-GB"/>
        </w:rPr>
        <w:t>in Russia</w:t>
      </w:r>
      <w:r>
        <w:rPr>
          <w:rFonts w:ascii="Times New Roman" w:hAnsi="Times New Roman" w:cs="Times New Roman"/>
          <w:lang w:val="en-GB"/>
        </w:rPr>
        <w:t xml:space="preserve"> have been used as a starting point</w:t>
      </w:r>
      <w:r w:rsidRPr="00085FA6">
        <w:rPr>
          <w:rFonts w:ascii="Times New Roman" w:hAnsi="Times New Roman" w:cs="Times New Roman"/>
          <w:lang w:val="en-GB"/>
        </w:rPr>
        <w:t>.</w:t>
      </w:r>
      <w:r w:rsidRPr="00085FA6">
        <w:rPr>
          <w:rStyle w:val="FootnoteReference"/>
          <w:rFonts w:ascii="Times New Roman" w:hAnsi="Times New Roman" w:cs="Times New Roman"/>
          <w:lang w:val="en-GB"/>
        </w:rPr>
        <w:footnoteReference w:id="8"/>
      </w:r>
      <w:r w:rsidRPr="00085FA6">
        <w:rPr>
          <w:rFonts w:ascii="Times New Roman" w:hAnsi="Times New Roman" w:cs="Times New Roman"/>
          <w:lang w:val="en-GB"/>
        </w:rPr>
        <w:t xml:space="preserve"> These are the prices Gazprom charges the distribution companies, depending on whether they sell the gas to household or wholesale customers. The end-user price to households is also regulated and published each year by the regional ta</w:t>
      </w:r>
      <w:r>
        <w:rPr>
          <w:rFonts w:ascii="Times New Roman" w:hAnsi="Times New Roman" w:cs="Times New Roman"/>
          <w:lang w:val="en-GB"/>
        </w:rPr>
        <w:t>riff authority. To find the end-</w:t>
      </w:r>
      <w:r w:rsidRPr="00085FA6">
        <w:rPr>
          <w:rFonts w:ascii="Times New Roman" w:hAnsi="Times New Roman" w:cs="Times New Roman"/>
          <w:lang w:val="en-GB"/>
        </w:rPr>
        <w:t xml:space="preserve">user prices for households in 2009 regional websites </w:t>
      </w:r>
      <w:r>
        <w:rPr>
          <w:rFonts w:ascii="Times New Roman" w:hAnsi="Times New Roman" w:cs="Times New Roman"/>
          <w:lang w:val="en-GB"/>
        </w:rPr>
        <w:t xml:space="preserve">were consulted </w:t>
      </w:r>
      <w:r w:rsidRPr="00085FA6">
        <w:rPr>
          <w:rFonts w:ascii="Times New Roman" w:hAnsi="Times New Roman" w:cs="Times New Roman"/>
          <w:lang w:val="en-GB"/>
        </w:rPr>
        <w:t xml:space="preserve">and </w:t>
      </w:r>
      <w:r>
        <w:rPr>
          <w:rFonts w:ascii="Times New Roman" w:hAnsi="Times New Roman" w:cs="Times New Roman"/>
          <w:lang w:val="en-GB"/>
        </w:rPr>
        <w:t>a d</w:t>
      </w:r>
      <w:r w:rsidRPr="00085FA6">
        <w:rPr>
          <w:rFonts w:ascii="Times New Roman" w:hAnsi="Times New Roman" w:cs="Times New Roman"/>
          <w:lang w:val="en-GB"/>
        </w:rPr>
        <w:t xml:space="preserve">ataset </w:t>
      </w:r>
      <w:r>
        <w:rPr>
          <w:rFonts w:ascii="Times New Roman" w:hAnsi="Times New Roman" w:cs="Times New Roman"/>
          <w:lang w:val="en-GB"/>
        </w:rPr>
        <w:t xml:space="preserve">created from </w:t>
      </w:r>
      <w:r w:rsidRPr="00085FA6">
        <w:rPr>
          <w:rFonts w:ascii="Times New Roman" w:hAnsi="Times New Roman" w:cs="Times New Roman"/>
          <w:lang w:val="en-GB"/>
        </w:rPr>
        <w:t>the available prices.</w:t>
      </w:r>
      <w:r w:rsidRPr="00085FA6">
        <w:rPr>
          <w:rStyle w:val="FootnoteReference"/>
          <w:rFonts w:ascii="Times New Roman" w:hAnsi="Times New Roman" w:cs="Times New Roman"/>
          <w:lang w:val="en-GB"/>
        </w:rPr>
        <w:footnoteReference w:id="9"/>
      </w:r>
      <w:r w:rsidRPr="00085FA6">
        <w:rPr>
          <w:rFonts w:ascii="Times New Roman" w:hAnsi="Times New Roman" w:cs="Times New Roman"/>
          <w:lang w:val="en-GB"/>
        </w:rPr>
        <w:t xml:space="preserve"> This, along with the tariffs from FTS, gave an idea of how the end-user price of gas varies from region to region. IEA Energy Prices and Taxes </w:t>
      </w:r>
      <w:proofErr w:type="gramStart"/>
      <w:r w:rsidRPr="00085FA6">
        <w:rPr>
          <w:rFonts w:ascii="Times New Roman" w:hAnsi="Times New Roman" w:cs="Times New Roman"/>
          <w:lang w:val="en-GB"/>
        </w:rPr>
        <w:t>has</w:t>
      </w:r>
      <w:proofErr w:type="gramEnd"/>
      <w:r w:rsidRPr="00085FA6">
        <w:rPr>
          <w:rFonts w:ascii="Times New Roman" w:hAnsi="Times New Roman" w:cs="Times New Roman"/>
          <w:lang w:val="en-GB"/>
        </w:rPr>
        <w:t xml:space="preserve"> a national natural gas price for industry in Russia in the base year. </w:t>
      </w:r>
      <w:r w:rsidRPr="00085FA6">
        <w:rPr>
          <w:rFonts w:ascii="Times New Roman" w:hAnsi="Times New Roman" w:cs="Times New Roman"/>
          <w:lang w:val="en-GB"/>
        </w:rPr>
        <w:lastRenderedPageBreak/>
        <w:t xml:space="preserve">This and the regional forecast prices from “Scenario Conditions of Electricity in the Russian Federation from 2009-2020” </w:t>
      </w:r>
      <w:r>
        <w:rPr>
          <w:rFonts w:ascii="Times New Roman" w:hAnsi="Times New Roman" w:cs="Times New Roman"/>
          <w:lang w:val="en-GB"/>
        </w:rPr>
        <w:t>was</w:t>
      </w:r>
      <w:r w:rsidRPr="00085FA6">
        <w:rPr>
          <w:rFonts w:ascii="Times New Roman" w:hAnsi="Times New Roman" w:cs="Times New Roman"/>
          <w:lang w:val="en-GB"/>
        </w:rPr>
        <w:t xml:space="preserve"> used to </w:t>
      </w:r>
      <w:r>
        <w:rPr>
          <w:rFonts w:ascii="Times New Roman" w:hAnsi="Times New Roman" w:cs="Times New Roman"/>
          <w:lang w:val="en-GB"/>
        </w:rPr>
        <w:t>create the</w:t>
      </w:r>
      <w:r w:rsidRPr="00085FA6">
        <w:rPr>
          <w:rFonts w:ascii="Times New Roman" w:hAnsi="Times New Roman" w:cs="Times New Roman"/>
          <w:lang w:val="en-GB"/>
        </w:rPr>
        <w:t xml:space="preserve"> natural gas</w:t>
      </w:r>
      <w:r>
        <w:rPr>
          <w:rFonts w:ascii="Times New Roman" w:hAnsi="Times New Roman" w:cs="Times New Roman"/>
          <w:lang w:val="en-GB"/>
        </w:rPr>
        <w:t xml:space="preserve"> price for industry for</w:t>
      </w:r>
      <w:r w:rsidRPr="00085FA6">
        <w:rPr>
          <w:rFonts w:ascii="Times New Roman" w:hAnsi="Times New Roman" w:cs="Times New Roman"/>
          <w:lang w:val="en-GB"/>
        </w:rPr>
        <w:t xml:space="preserve"> the three LIBEMOD-regions.   </w:t>
      </w:r>
    </w:p>
    <w:p w:rsidR="00773556" w:rsidRPr="00085FA6" w:rsidRDefault="00773556" w:rsidP="00773556">
      <w:pPr>
        <w:jc w:val="both"/>
        <w:rPr>
          <w:rFonts w:ascii="Times New Roman" w:hAnsi="Times New Roman" w:cs="Times New Roman"/>
          <w:lang w:val="en-GB"/>
        </w:rPr>
      </w:pPr>
      <w:r w:rsidRPr="00085FA6">
        <w:rPr>
          <w:rFonts w:ascii="Times New Roman" w:hAnsi="Times New Roman" w:cs="Times New Roman"/>
          <w:lang w:val="en-GB"/>
        </w:rPr>
        <w:t xml:space="preserve">IEA Energy Prices and Taxes </w:t>
      </w:r>
      <w:r>
        <w:rPr>
          <w:rFonts w:ascii="Times New Roman" w:hAnsi="Times New Roman" w:cs="Times New Roman"/>
          <w:lang w:val="en-GB"/>
        </w:rPr>
        <w:t xml:space="preserve">(2011) </w:t>
      </w:r>
      <w:proofErr w:type="gramStart"/>
      <w:r w:rsidRPr="00085FA6">
        <w:rPr>
          <w:rFonts w:ascii="Times New Roman" w:hAnsi="Times New Roman" w:cs="Times New Roman"/>
          <w:lang w:val="en-GB"/>
        </w:rPr>
        <w:t>has</w:t>
      </w:r>
      <w:proofErr w:type="gramEnd"/>
      <w:r w:rsidRPr="00085FA6">
        <w:rPr>
          <w:rFonts w:ascii="Times New Roman" w:hAnsi="Times New Roman" w:cs="Times New Roman"/>
          <w:lang w:val="en-GB"/>
        </w:rPr>
        <w:t xml:space="preserve"> national prices for steam coal and coking coal to industry. “Scenario Conditions of Electricity in the Russian Federation from 2009-2020” has forecast prices for 2009 for the federal districts for coal from different coal fields. This is used to create a regional dataset of prices of steam coal and coking coal to industry and electricity production. For </w:t>
      </w:r>
      <w:r>
        <w:rPr>
          <w:rFonts w:ascii="Times New Roman" w:hAnsi="Times New Roman" w:cs="Times New Roman"/>
          <w:lang w:val="en-GB"/>
        </w:rPr>
        <w:t xml:space="preserve">the </w:t>
      </w:r>
      <w:r w:rsidRPr="00085FA6">
        <w:rPr>
          <w:rFonts w:ascii="Times New Roman" w:hAnsi="Times New Roman" w:cs="Times New Roman"/>
          <w:lang w:val="en-GB"/>
        </w:rPr>
        <w:t>household</w:t>
      </w:r>
      <w:r>
        <w:rPr>
          <w:rFonts w:ascii="Times New Roman" w:hAnsi="Times New Roman" w:cs="Times New Roman"/>
          <w:lang w:val="en-GB"/>
        </w:rPr>
        <w:t xml:space="preserve"> </w:t>
      </w:r>
      <w:r w:rsidRPr="00085FA6">
        <w:rPr>
          <w:rFonts w:ascii="Times New Roman" w:hAnsi="Times New Roman" w:cs="Times New Roman"/>
          <w:lang w:val="en-GB"/>
        </w:rPr>
        <w:t>s</w:t>
      </w:r>
      <w:r>
        <w:rPr>
          <w:rFonts w:ascii="Times New Roman" w:hAnsi="Times New Roman" w:cs="Times New Roman"/>
          <w:lang w:val="en-GB"/>
        </w:rPr>
        <w:t>ector</w:t>
      </w:r>
      <w:r w:rsidRPr="00085FA6">
        <w:rPr>
          <w:rFonts w:ascii="Times New Roman" w:hAnsi="Times New Roman" w:cs="Times New Roman"/>
          <w:lang w:val="en-GB"/>
        </w:rPr>
        <w:t xml:space="preserve"> the industry price </w:t>
      </w:r>
      <w:r>
        <w:rPr>
          <w:rFonts w:ascii="Times New Roman" w:hAnsi="Times New Roman" w:cs="Times New Roman"/>
          <w:lang w:val="en-GB"/>
        </w:rPr>
        <w:t>with an added</w:t>
      </w:r>
      <w:r w:rsidRPr="00085FA6">
        <w:rPr>
          <w:rFonts w:ascii="Times New Roman" w:hAnsi="Times New Roman" w:cs="Times New Roman"/>
          <w:lang w:val="en-GB"/>
        </w:rPr>
        <w:t xml:space="preserve"> distribution cost</w:t>
      </w:r>
      <w:r>
        <w:rPr>
          <w:rFonts w:ascii="Times New Roman" w:hAnsi="Times New Roman" w:cs="Times New Roman"/>
          <w:lang w:val="en-GB"/>
        </w:rPr>
        <w:t xml:space="preserve"> has been used</w:t>
      </w:r>
      <w:r w:rsidRPr="00085FA6">
        <w:rPr>
          <w:rFonts w:ascii="Times New Roman" w:hAnsi="Times New Roman" w:cs="Times New Roman"/>
          <w:lang w:val="en-GB"/>
        </w:rPr>
        <w:t xml:space="preserve"> for each region.</w:t>
      </w:r>
      <w:r w:rsidRPr="00085FA6">
        <w:rPr>
          <w:rStyle w:val="FootnoteReference"/>
          <w:rFonts w:ascii="Times New Roman" w:hAnsi="Times New Roman" w:cs="Times New Roman"/>
          <w:lang w:val="en-GB"/>
        </w:rPr>
        <w:footnoteReference w:id="10"/>
      </w:r>
      <w:r w:rsidRPr="00085FA6">
        <w:rPr>
          <w:rFonts w:ascii="Times New Roman" w:hAnsi="Times New Roman" w:cs="Times New Roman"/>
          <w:lang w:val="en-GB"/>
        </w:rPr>
        <w:t xml:space="preserve"> For lignite the same source </w:t>
      </w:r>
      <w:r>
        <w:rPr>
          <w:rFonts w:ascii="Times New Roman" w:hAnsi="Times New Roman" w:cs="Times New Roman"/>
          <w:lang w:val="en-GB"/>
        </w:rPr>
        <w:t xml:space="preserve">has been used </w:t>
      </w:r>
      <w:r w:rsidRPr="00085FA6">
        <w:rPr>
          <w:rFonts w:ascii="Times New Roman" w:hAnsi="Times New Roman" w:cs="Times New Roman"/>
          <w:lang w:val="en-GB"/>
        </w:rPr>
        <w:t>assuming that the prices of coal from coal fields known to produce lignite appl</w:t>
      </w:r>
      <w:r>
        <w:rPr>
          <w:rFonts w:ascii="Times New Roman" w:hAnsi="Times New Roman" w:cs="Times New Roman"/>
          <w:lang w:val="en-GB"/>
        </w:rPr>
        <w:t>y</w:t>
      </w:r>
      <w:r w:rsidRPr="00085FA6">
        <w:rPr>
          <w:rFonts w:ascii="Times New Roman" w:hAnsi="Times New Roman" w:cs="Times New Roman"/>
          <w:lang w:val="en-GB"/>
        </w:rPr>
        <w:t xml:space="preserve"> to lignite</w:t>
      </w:r>
      <w:r>
        <w:rPr>
          <w:rFonts w:ascii="Times New Roman" w:hAnsi="Times New Roman" w:cs="Times New Roman"/>
          <w:lang w:val="en-GB"/>
        </w:rPr>
        <w:t>.</w:t>
      </w:r>
      <w:r>
        <w:rPr>
          <w:rStyle w:val="FootnoteReference"/>
          <w:rFonts w:ascii="Times New Roman" w:hAnsi="Times New Roman" w:cs="Times New Roman"/>
          <w:lang w:val="en-GB"/>
        </w:rPr>
        <w:footnoteReference w:id="11"/>
      </w:r>
      <w:r w:rsidRPr="00085FA6">
        <w:rPr>
          <w:rFonts w:ascii="Times New Roman" w:hAnsi="Times New Roman" w:cs="Times New Roman"/>
          <w:lang w:val="en-GB"/>
        </w:rPr>
        <w:t xml:space="preserve"> </w:t>
      </w:r>
    </w:p>
    <w:p w:rsidR="00773556" w:rsidRPr="00085FA6" w:rsidRDefault="00773556" w:rsidP="00773556">
      <w:pPr>
        <w:jc w:val="both"/>
        <w:rPr>
          <w:rFonts w:ascii="Times New Roman" w:hAnsi="Times New Roman" w:cs="Times New Roman"/>
          <w:lang w:val="en-GB"/>
        </w:rPr>
      </w:pPr>
      <w:r w:rsidRPr="00085FA6">
        <w:rPr>
          <w:rFonts w:ascii="Times New Roman" w:hAnsi="Times New Roman" w:cs="Times New Roman"/>
          <w:lang w:val="en-GB"/>
        </w:rPr>
        <w:t xml:space="preserve">IEA </w:t>
      </w:r>
      <w:r>
        <w:rPr>
          <w:rFonts w:ascii="Times New Roman" w:hAnsi="Times New Roman" w:cs="Times New Roman"/>
          <w:lang w:val="en-GB"/>
        </w:rPr>
        <w:t xml:space="preserve">(2011) </w:t>
      </w:r>
      <w:r w:rsidRPr="00085FA6">
        <w:rPr>
          <w:rFonts w:ascii="Times New Roman" w:hAnsi="Times New Roman" w:cs="Times New Roman"/>
          <w:lang w:val="en-GB"/>
        </w:rPr>
        <w:t xml:space="preserve">has a national “heavy fuel oil” price for industry. “Scenario Conditions of Electricity in the Russian Federation from 2009-2020” has forecast prices for oil (to electricity producers) for 2009 for each of the Russian federal districts. </w:t>
      </w:r>
      <w:r>
        <w:rPr>
          <w:rFonts w:ascii="Times New Roman" w:hAnsi="Times New Roman" w:cs="Times New Roman"/>
          <w:lang w:val="en-GB"/>
        </w:rPr>
        <w:t xml:space="preserve">The </w:t>
      </w:r>
      <w:r w:rsidRPr="00085FA6">
        <w:rPr>
          <w:rFonts w:ascii="Times New Roman" w:hAnsi="Times New Roman" w:cs="Times New Roman"/>
          <w:lang w:val="en-GB"/>
        </w:rPr>
        <w:t xml:space="preserve">variation in the forecast prices </w:t>
      </w:r>
      <w:r>
        <w:rPr>
          <w:rFonts w:ascii="Times New Roman" w:hAnsi="Times New Roman" w:cs="Times New Roman"/>
          <w:lang w:val="en-GB"/>
        </w:rPr>
        <w:t xml:space="preserve">has been used </w:t>
      </w:r>
      <w:r w:rsidRPr="00085FA6">
        <w:rPr>
          <w:rFonts w:ascii="Times New Roman" w:hAnsi="Times New Roman" w:cs="Times New Roman"/>
          <w:lang w:val="en-GB"/>
        </w:rPr>
        <w:t>to adjust the IEA price for each LIBEMOD</w:t>
      </w:r>
      <w:r>
        <w:rPr>
          <w:rFonts w:ascii="Times New Roman" w:hAnsi="Times New Roman" w:cs="Times New Roman"/>
          <w:lang w:val="en-GB"/>
        </w:rPr>
        <w:t xml:space="preserve"> </w:t>
      </w:r>
      <w:r w:rsidRPr="00085FA6">
        <w:rPr>
          <w:rFonts w:ascii="Times New Roman" w:hAnsi="Times New Roman" w:cs="Times New Roman"/>
          <w:lang w:val="en-GB"/>
        </w:rPr>
        <w:t xml:space="preserve">region. For electricity producers the forecast prices </w:t>
      </w:r>
      <w:r>
        <w:rPr>
          <w:rFonts w:ascii="Times New Roman" w:hAnsi="Times New Roman" w:cs="Times New Roman"/>
          <w:lang w:val="en-GB"/>
        </w:rPr>
        <w:t xml:space="preserve">have been used </w:t>
      </w:r>
      <w:r w:rsidRPr="00085FA6">
        <w:rPr>
          <w:rFonts w:ascii="Times New Roman" w:hAnsi="Times New Roman" w:cs="Times New Roman"/>
          <w:lang w:val="en-GB"/>
        </w:rPr>
        <w:t xml:space="preserve">(these are </w:t>
      </w:r>
      <w:r>
        <w:rPr>
          <w:rFonts w:ascii="Times New Roman" w:hAnsi="Times New Roman" w:cs="Times New Roman"/>
          <w:lang w:val="en-GB"/>
        </w:rPr>
        <w:t>close to</w:t>
      </w:r>
      <w:r w:rsidRPr="00085FA6">
        <w:rPr>
          <w:rFonts w:ascii="Times New Roman" w:hAnsi="Times New Roman" w:cs="Times New Roman"/>
          <w:lang w:val="en-GB"/>
        </w:rPr>
        <w:t xml:space="preserve"> the industry price from the IEA). For households </w:t>
      </w:r>
      <w:r>
        <w:rPr>
          <w:rFonts w:ascii="Times New Roman" w:hAnsi="Times New Roman" w:cs="Times New Roman"/>
          <w:lang w:val="en-GB"/>
        </w:rPr>
        <w:t xml:space="preserve">the </w:t>
      </w:r>
      <w:r w:rsidRPr="00085FA6">
        <w:rPr>
          <w:rFonts w:ascii="Times New Roman" w:hAnsi="Times New Roman" w:cs="Times New Roman"/>
          <w:lang w:val="en-GB"/>
        </w:rPr>
        <w:t>regionalised industry price</w:t>
      </w:r>
      <w:r>
        <w:rPr>
          <w:rFonts w:ascii="Times New Roman" w:hAnsi="Times New Roman" w:cs="Times New Roman"/>
          <w:lang w:val="en-GB"/>
        </w:rPr>
        <w:t xml:space="preserve">s were used with an </w:t>
      </w:r>
      <w:r w:rsidRPr="00085FA6">
        <w:rPr>
          <w:rFonts w:ascii="Times New Roman" w:hAnsi="Times New Roman" w:cs="Times New Roman"/>
          <w:lang w:val="en-GB"/>
        </w:rPr>
        <w:t>add</w:t>
      </w:r>
      <w:r>
        <w:rPr>
          <w:rFonts w:ascii="Times New Roman" w:hAnsi="Times New Roman" w:cs="Times New Roman"/>
          <w:lang w:val="en-GB"/>
        </w:rPr>
        <w:t>ed</w:t>
      </w:r>
      <w:r w:rsidRPr="00085FA6">
        <w:rPr>
          <w:rFonts w:ascii="Times New Roman" w:hAnsi="Times New Roman" w:cs="Times New Roman"/>
          <w:lang w:val="en-GB"/>
        </w:rPr>
        <w:t xml:space="preserve"> distribution cost.</w:t>
      </w:r>
      <w:r w:rsidRPr="00085FA6">
        <w:rPr>
          <w:rStyle w:val="FootnoteReference"/>
          <w:rFonts w:ascii="Times New Roman" w:hAnsi="Times New Roman" w:cs="Times New Roman"/>
          <w:lang w:val="en-GB"/>
        </w:rPr>
        <w:footnoteReference w:id="12"/>
      </w:r>
      <w:r w:rsidRPr="00085FA6">
        <w:rPr>
          <w:rFonts w:ascii="Times New Roman" w:hAnsi="Times New Roman" w:cs="Times New Roman"/>
          <w:lang w:val="en-GB"/>
        </w:rPr>
        <w:t xml:space="preserve"> </w:t>
      </w:r>
      <w:r>
        <w:rPr>
          <w:rFonts w:ascii="Times New Roman" w:hAnsi="Times New Roman" w:cs="Times New Roman"/>
          <w:lang w:val="en-GB"/>
        </w:rPr>
        <w:t>For oil in the transport sector</w:t>
      </w:r>
      <w:r w:rsidRPr="00085FA6">
        <w:rPr>
          <w:rFonts w:ascii="Times New Roman" w:hAnsi="Times New Roman" w:cs="Times New Roman"/>
          <w:lang w:val="en-GB"/>
        </w:rPr>
        <w:t xml:space="preserve"> the IEA has national prices for unleaded premium and automotive diesel. These </w:t>
      </w:r>
      <w:r>
        <w:rPr>
          <w:rFonts w:ascii="Times New Roman" w:hAnsi="Times New Roman" w:cs="Times New Roman"/>
          <w:lang w:val="en-GB"/>
        </w:rPr>
        <w:t>along with</w:t>
      </w:r>
      <w:r w:rsidRPr="00085FA6">
        <w:rPr>
          <w:rFonts w:ascii="Times New Roman" w:hAnsi="Times New Roman" w:cs="Times New Roman"/>
          <w:lang w:val="en-GB"/>
        </w:rPr>
        <w:t xml:space="preserve"> daily prices of petrol in the 83 Russian regions</w:t>
      </w:r>
      <w:r w:rsidRPr="00085FA6">
        <w:rPr>
          <w:rStyle w:val="FootnoteReference"/>
          <w:rFonts w:ascii="Times New Roman" w:hAnsi="Times New Roman" w:cs="Times New Roman"/>
          <w:lang w:val="en-GB"/>
        </w:rPr>
        <w:footnoteReference w:id="13"/>
      </w:r>
      <w:r>
        <w:rPr>
          <w:rFonts w:ascii="Times New Roman" w:hAnsi="Times New Roman" w:cs="Times New Roman"/>
          <w:lang w:val="en-GB"/>
        </w:rPr>
        <w:t xml:space="preserve"> were used to get a regional dataset. </w:t>
      </w:r>
    </w:p>
    <w:p w:rsidR="00773556" w:rsidRDefault="00773556" w:rsidP="00773556">
      <w:pPr>
        <w:jc w:val="both"/>
        <w:rPr>
          <w:rFonts w:ascii="Times New Roman" w:hAnsi="Times New Roman" w:cs="Times New Roman"/>
          <w:lang w:val="en-US"/>
        </w:rPr>
      </w:pPr>
      <w:r w:rsidRPr="00085FA6">
        <w:rPr>
          <w:rFonts w:ascii="Times New Roman" w:hAnsi="Times New Roman" w:cs="Times New Roman"/>
          <w:lang w:val="en-GB"/>
        </w:rPr>
        <w:t>For biofuels there is no consumption in Russia in the base year</w:t>
      </w:r>
      <w:r>
        <w:rPr>
          <w:rFonts w:ascii="Times New Roman" w:hAnsi="Times New Roman" w:cs="Times New Roman"/>
          <w:lang w:val="en-GB"/>
        </w:rPr>
        <w:t xml:space="preserve"> so</w:t>
      </w:r>
      <w:r w:rsidRPr="00085FA6">
        <w:rPr>
          <w:rFonts w:ascii="Times New Roman" w:hAnsi="Times New Roman" w:cs="Times New Roman"/>
          <w:lang w:val="en-GB"/>
        </w:rPr>
        <w:t xml:space="preserve"> a price set based on the European price level</w:t>
      </w:r>
      <w:r>
        <w:rPr>
          <w:rFonts w:ascii="Times New Roman" w:hAnsi="Times New Roman" w:cs="Times New Roman"/>
          <w:lang w:val="en-GB"/>
        </w:rPr>
        <w:t xml:space="preserve"> has been created</w:t>
      </w:r>
      <w:r w:rsidRPr="00085FA6">
        <w:rPr>
          <w:rFonts w:ascii="Times New Roman" w:hAnsi="Times New Roman" w:cs="Times New Roman"/>
          <w:lang w:val="en-GB"/>
        </w:rPr>
        <w:t xml:space="preserve">. </w:t>
      </w:r>
      <w:r>
        <w:rPr>
          <w:rFonts w:ascii="Times New Roman" w:hAnsi="Times New Roman" w:cs="Times New Roman"/>
          <w:lang w:val="en-GB"/>
        </w:rPr>
        <w:t xml:space="preserve">Biomass prices are based on </w:t>
      </w:r>
      <w:r w:rsidRPr="00085FA6">
        <w:rPr>
          <w:rFonts w:ascii="Times New Roman" w:hAnsi="Times New Roman" w:cs="Times New Roman"/>
          <w:lang w:val="en-GB"/>
        </w:rPr>
        <w:t xml:space="preserve">wood pellets </w:t>
      </w:r>
      <w:r>
        <w:rPr>
          <w:rFonts w:ascii="Times New Roman" w:hAnsi="Times New Roman" w:cs="Times New Roman"/>
          <w:lang w:val="en-GB"/>
        </w:rPr>
        <w:t xml:space="preserve">prices </w:t>
      </w:r>
      <w:r w:rsidRPr="00085FA6">
        <w:rPr>
          <w:rFonts w:ascii="Times New Roman" w:hAnsi="Times New Roman" w:cs="Times New Roman"/>
          <w:lang w:val="en-GB"/>
        </w:rPr>
        <w:t xml:space="preserve">from </w:t>
      </w:r>
      <w:proofErr w:type="spellStart"/>
      <w:r w:rsidRPr="00085FA6">
        <w:rPr>
          <w:rFonts w:ascii="Times New Roman" w:hAnsi="Times New Roman" w:cs="Times New Roman"/>
          <w:lang w:val="en-US"/>
        </w:rPr>
        <w:t>Rakitova</w:t>
      </w:r>
      <w:proofErr w:type="spellEnd"/>
      <w:r w:rsidRPr="00085FA6">
        <w:rPr>
          <w:rFonts w:ascii="Times New Roman" w:hAnsi="Times New Roman" w:cs="Times New Roman"/>
          <w:lang w:val="en-US"/>
        </w:rPr>
        <w:t xml:space="preserve"> et al. (2009). This report has some </w:t>
      </w:r>
      <w:r>
        <w:rPr>
          <w:rFonts w:ascii="Times New Roman" w:hAnsi="Times New Roman" w:cs="Times New Roman"/>
          <w:lang w:val="en-US"/>
        </w:rPr>
        <w:t xml:space="preserve">pellets </w:t>
      </w:r>
      <w:r w:rsidRPr="00085FA6">
        <w:rPr>
          <w:rFonts w:ascii="Times New Roman" w:hAnsi="Times New Roman" w:cs="Times New Roman"/>
          <w:lang w:val="en-US"/>
        </w:rPr>
        <w:t xml:space="preserve">prices from 2009 for residential </w:t>
      </w:r>
      <w:r>
        <w:rPr>
          <w:rFonts w:ascii="Times New Roman" w:hAnsi="Times New Roman" w:cs="Times New Roman"/>
          <w:lang w:val="en-US"/>
        </w:rPr>
        <w:t>and</w:t>
      </w:r>
      <w:r w:rsidRPr="00085FA6">
        <w:rPr>
          <w:rFonts w:ascii="Times New Roman" w:hAnsi="Times New Roman" w:cs="Times New Roman"/>
          <w:lang w:val="en-US"/>
        </w:rPr>
        <w:t xml:space="preserve"> industrial </w:t>
      </w:r>
      <w:r>
        <w:rPr>
          <w:rFonts w:ascii="Times New Roman" w:hAnsi="Times New Roman" w:cs="Times New Roman"/>
          <w:lang w:val="en-US"/>
        </w:rPr>
        <w:t>consumers</w:t>
      </w:r>
      <w:r w:rsidRPr="00085FA6">
        <w:rPr>
          <w:rFonts w:ascii="Times New Roman" w:hAnsi="Times New Roman" w:cs="Times New Roman"/>
          <w:lang w:val="en-US"/>
        </w:rPr>
        <w:t xml:space="preserve">. A dataset with prices for the three LIBEMOD-regions for all sectors has been created based on this source and own assumptions. </w:t>
      </w:r>
    </w:p>
    <w:p w:rsidR="00773556" w:rsidRPr="007A1295" w:rsidRDefault="00773556" w:rsidP="00773556">
      <w:pPr>
        <w:jc w:val="both"/>
        <w:rPr>
          <w:rFonts w:ascii="Times New Roman" w:hAnsi="Times New Roman" w:cs="Times New Roman"/>
          <w:b/>
          <w:sz w:val="20"/>
          <w:szCs w:val="20"/>
          <w:lang w:val="en-US"/>
        </w:rPr>
      </w:pPr>
      <w:r w:rsidRPr="007A1295">
        <w:rPr>
          <w:rFonts w:ascii="Times New Roman" w:hAnsi="Times New Roman" w:cs="Times New Roman"/>
          <w:b/>
          <w:sz w:val="20"/>
          <w:szCs w:val="20"/>
          <w:lang w:val="en-US"/>
        </w:rPr>
        <w:t>Table 17</w:t>
      </w:r>
      <w:r w:rsidRPr="007A1295">
        <w:rPr>
          <w:rFonts w:ascii="Times New Roman" w:hAnsi="Times New Roman" w:cs="Times New Roman"/>
          <w:sz w:val="20"/>
          <w:szCs w:val="20"/>
          <w:lang w:val="en-US"/>
        </w:rPr>
        <w:t xml:space="preserve"> </w:t>
      </w:r>
      <w:r w:rsidRPr="007A1295">
        <w:rPr>
          <w:rFonts w:ascii="Times New Roman" w:hAnsi="Times New Roman" w:cs="Times New Roman"/>
          <w:b/>
          <w:sz w:val="20"/>
          <w:szCs w:val="20"/>
          <w:lang w:val="en-US"/>
        </w:rPr>
        <w:t>End-user prices in RU1 (€2009/toe)</w:t>
      </w:r>
    </w:p>
    <w:tbl>
      <w:tblPr>
        <w:tblW w:w="7103" w:type="dxa"/>
        <w:tblInd w:w="55" w:type="dxa"/>
        <w:tblCellMar>
          <w:left w:w="70" w:type="dxa"/>
          <w:right w:w="70" w:type="dxa"/>
        </w:tblCellMar>
        <w:tblLook w:val="04A0" w:firstRow="1" w:lastRow="0" w:firstColumn="1" w:lastColumn="0" w:noHBand="0" w:noVBand="1"/>
      </w:tblPr>
      <w:tblGrid>
        <w:gridCol w:w="1149"/>
        <w:gridCol w:w="934"/>
        <w:gridCol w:w="1085"/>
        <w:gridCol w:w="958"/>
        <w:gridCol w:w="992"/>
        <w:gridCol w:w="993"/>
        <w:gridCol w:w="992"/>
      </w:tblGrid>
      <w:tr w:rsidR="00773556" w:rsidRPr="005E22B2" w:rsidTr="00A8093A">
        <w:trPr>
          <w:trHeight w:val="300"/>
        </w:trPr>
        <w:tc>
          <w:tcPr>
            <w:tcW w:w="1149" w:type="dxa"/>
            <w:tcBorders>
              <w:top w:val="single" w:sz="4" w:space="0" w:color="auto"/>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lang w:val="en-US"/>
              </w:rPr>
            </w:pPr>
          </w:p>
        </w:tc>
        <w:tc>
          <w:tcPr>
            <w:tcW w:w="934" w:type="dxa"/>
            <w:tcBorders>
              <w:top w:val="single" w:sz="4" w:space="0" w:color="auto"/>
              <w:left w:val="nil"/>
              <w:bottom w:val="single" w:sz="4" w:space="0" w:color="auto"/>
              <w:right w:val="nil"/>
            </w:tcBorders>
          </w:tcPr>
          <w:p w:rsidR="00773556" w:rsidRPr="007A1295" w:rsidRDefault="00773556" w:rsidP="00A8093A">
            <w:pPr>
              <w:spacing w:after="0" w:line="240" w:lineRule="auto"/>
              <w:jc w:val="right"/>
              <w:rPr>
                <w:rFonts w:ascii="Times New Roman" w:eastAsia="Times New Roman" w:hAnsi="Times New Roman" w:cs="Times New Roman"/>
                <w:color w:val="000000"/>
                <w:sz w:val="20"/>
                <w:szCs w:val="20"/>
                <w:lang w:val="en-US"/>
              </w:rPr>
            </w:pPr>
          </w:p>
        </w:tc>
        <w:tc>
          <w:tcPr>
            <w:tcW w:w="1085" w:type="dxa"/>
            <w:tcBorders>
              <w:top w:val="single" w:sz="4" w:space="0" w:color="auto"/>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5E22B2">
              <w:rPr>
                <w:rFonts w:ascii="Times New Roman" w:eastAsia="Times New Roman" w:hAnsi="Times New Roman" w:cs="Times New Roman"/>
                <w:color w:val="000000"/>
                <w:sz w:val="20"/>
                <w:szCs w:val="20"/>
              </w:rPr>
              <w:t>ouseholds</w:t>
            </w:r>
          </w:p>
        </w:tc>
        <w:tc>
          <w:tcPr>
            <w:tcW w:w="958" w:type="dxa"/>
            <w:tcBorders>
              <w:top w:val="single" w:sz="4" w:space="0" w:color="auto"/>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Pr="005E22B2">
              <w:rPr>
                <w:rFonts w:ascii="Times New Roman" w:eastAsia="Times New Roman" w:hAnsi="Times New Roman" w:cs="Times New Roman"/>
                <w:color w:val="000000"/>
                <w:sz w:val="20"/>
                <w:szCs w:val="20"/>
              </w:rPr>
              <w:t>ndustry</w:t>
            </w:r>
          </w:p>
        </w:tc>
        <w:tc>
          <w:tcPr>
            <w:tcW w:w="992" w:type="dxa"/>
            <w:tcBorders>
              <w:top w:val="single" w:sz="4" w:space="0" w:color="auto"/>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Pr="005E22B2">
              <w:rPr>
                <w:rFonts w:ascii="Times New Roman" w:eastAsia="Times New Roman" w:hAnsi="Times New Roman" w:cs="Times New Roman"/>
                <w:color w:val="000000"/>
                <w:sz w:val="20"/>
                <w:szCs w:val="20"/>
              </w:rPr>
              <w:t>ransport</w:t>
            </w:r>
          </w:p>
        </w:tc>
        <w:tc>
          <w:tcPr>
            <w:tcW w:w="993" w:type="dxa"/>
            <w:tcBorders>
              <w:top w:val="single" w:sz="4" w:space="0" w:color="auto"/>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Electricity</w:t>
            </w:r>
            <w:proofErr w:type="spellEnd"/>
            <w:r>
              <w:rPr>
                <w:rFonts w:ascii="Times New Roman" w:eastAsia="Times New Roman" w:hAnsi="Times New Roman" w:cs="Times New Roman"/>
                <w:color w:val="000000"/>
                <w:sz w:val="20"/>
                <w:szCs w:val="20"/>
              </w:rPr>
              <w:t xml:space="preserve"> </w:t>
            </w:r>
            <w:r w:rsidRPr="005E22B2">
              <w:rPr>
                <w:rFonts w:ascii="Times New Roman" w:eastAsia="Times New Roman" w:hAnsi="Times New Roman" w:cs="Times New Roman"/>
                <w:color w:val="000000"/>
                <w:sz w:val="20"/>
                <w:szCs w:val="20"/>
              </w:rPr>
              <w:t>producers</w:t>
            </w:r>
          </w:p>
        </w:tc>
        <w:tc>
          <w:tcPr>
            <w:tcW w:w="992" w:type="dxa"/>
            <w:tcBorders>
              <w:top w:val="single" w:sz="4" w:space="0" w:color="auto"/>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5E22B2">
              <w:rPr>
                <w:rFonts w:ascii="Times New Roman" w:eastAsia="Times New Roman" w:hAnsi="Times New Roman" w:cs="Times New Roman"/>
                <w:color w:val="000000"/>
                <w:sz w:val="20"/>
                <w:szCs w:val="20"/>
              </w:rPr>
              <w:t>ervices</w:t>
            </w:r>
          </w:p>
        </w:tc>
      </w:tr>
      <w:tr w:rsidR="00773556" w:rsidRPr="005E22B2" w:rsidTr="00A8093A">
        <w:trPr>
          <w:trHeight w:val="300"/>
        </w:trPr>
        <w:tc>
          <w:tcPr>
            <w:tcW w:w="1149" w:type="dxa"/>
            <w:tcBorders>
              <w:top w:val="single" w:sz="4" w:space="0" w:color="auto"/>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E</w:t>
            </w:r>
            <w:r w:rsidRPr="005E22B2">
              <w:rPr>
                <w:rFonts w:ascii="Times New Roman" w:eastAsia="Times New Roman" w:hAnsi="Times New Roman" w:cs="Times New Roman"/>
                <w:color w:val="000000"/>
                <w:sz w:val="20"/>
                <w:szCs w:val="20"/>
              </w:rPr>
              <w:t>lectricity</w:t>
            </w:r>
            <w:proofErr w:type="spellEnd"/>
          </w:p>
        </w:tc>
        <w:tc>
          <w:tcPr>
            <w:tcW w:w="934" w:type="dxa"/>
            <w:tcBorders>
              <w:top w:val="single" w:sz="4" w:space="0" w:color="auto"/>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eastAsia="Times New Roman" w:hAnsi="Times New Roman" w:cs="Times New Roman"/>
                <w:i/>
                <w:color w:val="000000"/>
                <w:sz w:val="20"/>
                <w:szCs w:val="20"/>
              </w:rPr>
              <w:t>€</w:t>
            </w:r>
            <w:r w:rsidRPr="00EF48F2">
              <w:rPr>
                <w:rFonts w:ascii="Times New Roman" w:eastAsia="Times New Roman" w:hAnsi="Times New Roman" w:cs="Times New Roman"/>
                <w:i/>
                <w:color w:val="000000"/>
                <w:sz w:val="20"/>
                <w:szCs w:val="20"/>
                <w:vertAlign w:val="subscript"/>
              </w:rPr>
              <w:t>2009</w:t>
            </w:r>
            <w:r w:rsidRPr="00EF48F2">
              <w:rPr>
                <w:rFonts w:ascii="Times New Roman" w:eastAsia="Times New Roman" w:hAnsi="Times New Roman" w:cs="Times New Roman"/>
                <w:i/>
                <w:color w:val="000000"/>
                <w:sz w:val="20"/>
                <w:szCs w:val="20"/>
              </w:rPr>
              <w:t>/</w:t>
            </w:r>
            <w:proofErr w:type="spellStart"/>
            <w:r w:rsidRPr="00EF48F2">
              <w:rPr>
                <w:rFonts w:ascii="Times New Roman" w:eastAsia="Times New Roman" w:hAnsi="Times New Roman" w:cs="Times New Roman"/>
                <w:i/>
                <w:color w:val="000000"/>
                <w:sz w:val="20"/>
                <w:szCs w:val="20"/>
              </w:rPr>
              <w:t>TWh</w:t>
            </w:r>
            <w:proofErr w:type="spellEnd"/>
          </w:p>
        </w:tc>
        <w:tc>
          <w:tcPr>
            <w:tcW w:w="1085" w:type="dxa"/>
            <w:tcBorders>
              <w:top w:val="single" w:sz="4" w:space="0" w:color="auto"/>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37.00</w:t>
            </w:r>
          </w:p>
        </w:tc>
        <w:tc>
          <w:tcPr>
            <w:tcW w:w="958" w:type="dxa"/>
            <w:tcBorders>
              <w:top w:val="single" w:sz="4" w:space="0" w:color="auto"/>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37.43</w:t>
            </w:r>
          </w:p>
        </w:tc>
        <w:tc>
          <w:tcPr>
            <w:tcW w:w="992" w:type="dxa"/>
            <w:tcBorders>
              <w:top w:val="single" w:sz="4" w:space="0" w:color="auto"/>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37.43</w:t>
            </w:r>
          </w:p>
        </w:tc>
        <w:tc>
          <w:tcPr>
            <w:tcW w:w="993" w:type="dxa"/>
            <w:tcBorders>
              <w:top w:val="single" w:sz="4" w:space="0" w:color="auto"/>
              <w:left w:val="nil"/>
              <w:bottom w:val="nil"/>
              <w:right w:val="nil"/>
            </w:tcBorders>
            <w:shd w:val="clear" w:color="auto" w:fill="auto"/>
            <w:noWrap/>
            <w:vAlign w:val="bottom"/>
            <w:hideMark/>
          </w:tcPr>
          <w:p w:rsidR="00773556" w:rsidRPr="005E22B2" w:rsidRDefault="00773556" w:rsidP="00A8093A">
            <w:pPr>
              <w:spacing w:after="0" w:line="240" w:lineRule="auto"/>
              <w:jc w:val="center"/>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w:t>
            </w:r>
          </w:p>
        </w:tc>
        <w:tc>
          <w:tcPr>
            <w:tcW w:w="992" w:type="dxa"/>
            <w:tcBorders>
              <w:top w:val="single" w:sz="4" w:space="0" w:color="auto"/>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58.00</w:t>
            </w:r>
          </w:p>
        </w:tc>
      </w:tr>
      <w:tr w:rsidR="00773556" w:rsidRPr="005E22B2" w:rsidTr="00A8093A">
        <w:trPr>
          <w:trHeight w:val="300"/>
        </w:trPr>
        <w:tc>
          <w:tcPr>
            <w:tcW w:w="1149"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r w:rsidRPr="005E22B2">
              <w:rPr>
                <w:rFonts w:ascii="Times New Roman" w:eastAsia="Times New Roman" w:hAnsi="Times New Roman" w:cs="Times New Roman"/>
                <w:color w:val="000000"/>
                <w:sz w:val="20"/>
                <w:szCs w:val="20"/>
              </w:rPr>
              <w:t>as</w:t>
            </w:r>
          </w:p>
        </w:tc>
        <w:tc>
          <w:tcPr>
            <w:tcW w:w="934" w:type="dxa"/>
            <w:tcBorders>
              <w:top w:val="nil"/>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60.49</w:t>
            </w:r>
          </w:p>
        </w:tc>
        <w:tc>
          <w:tcPr>
            <w:tcW w:w="958"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83.69</w:t>
            </w:r>
          </w:p>
        </w:tc>
        <w:tc>
          <w:tcPr>
            <w:tcW w:w="992"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center"/>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w:t>
            </w:r>
          </w:p>
        </w:tc>
        <w:tc>
          <w:tcPr>
            <w:tcW w:w="993"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83.69</w:t>
            </w:r>
          </w:p>
        </w:tc>
        <w:tc>
          <w:tcPr>
            <w:tcW w:w="992"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83.69</w:t>
            </w:r>
          </w:p>
        </w:tc>
      </w:tr>
      <w:tr w:rsidR="00773556" w:rsidRPr="005E22B2" w:rsidTr="00A8093A">
        <w:trPr>
          <w:trHeight w:val="300"/>
        </w:trPr>
        <w:tc>
          <w:tcPr>
            <w:tcW w:w="1149"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Steam</w:t>
            </w:r>
            <w:r>
              <w:rPr>
                <w:rFonts w:ascii="Times New Roman" w:eastAsia="Times New Roman" w:hAnsi="Times New Roman" w:cs="Times New Roman"/>
                <w:color w:val="000000"/>
                <w:sz w:val="20"/>
                <w:szCs w:val="20"/>
              </w:rPr>
              <w:t xml:space="preserve"> </w:t>
            </w:r>
            <w:proofErr w:type="spellStart"/>
            <w:r w:rsidRPr="005E22B2">
              <w:rPr>
                <w:rFonts w:ascii="Times New Roman" w:eastAsia="Times New Roman" w:hAnsi="Times New Roman" w:cs="Times New Roman"/>
                <w:color w:val="000000"/>
                <w:sz w:val="20"/>
                <w:szCs w:val="20"/>
              </w:rPr>
              <w:t>coal</w:t>
            </w:r>
            <w:proofErr w:type="spellEnd"/>
          </w:p>
        </w:tc>
        <w:tc>
          <w:tcPr>
            <w:tcW w:w="934" w:type="dxa"/>
            <w:tcBorders>
              <w:top w:val="nil"/>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255.30</w:t>
            </w:r>
          </w:p>
        </w:tc>
        <w:tc>
          <w:tcPr>
            <w:tcW w:w="958"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72.29</w:t>
            </w:r>
          </w:p>
        </w:tc>
        <w:tc>
          <w:tcPr>
            <w:tcW w:w="992"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center"/>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w:t>
            </w:r>
          </w:p>
        </w:tc>
        <w:tc>
          <w:tcPr>
            <w:tcW w:w="993"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72.29</w:t>
            </w:r>
          </w:p>
        </w:tc>
        <w:tc>
          <w:tcPr>
            <w:tcW w:w="992"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255.30</w:t>
            </w:r>
          </w:p>
        </w:tc>
      </w:tr>
      <w:tr w:rsidR="00773556" w:rsidRPr="005E22B2" w:rsidTr="00A8093A">
        <w:trPr>
          <w:trHeight w:val="300"/>
        </w:trPr>
        <w:tc>
          <w:tcPr>
            <w:tcW w:w="1149"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proofErr w:type="spellStart"/>
            <w:r w:rsidRPr="005E22B2">
              <w:rPr>
                <w:rFonts w:ascii="Times New Roman" w:eastAsia="Times New Roman" w:hAnsi="Times New Roman" w:cs="Times New Roman"/>
                <w:color w:val="000000"/>
                <w:sz w:val="20"/>
                <w:szCs w:val="20"/>
              </w:rPr>
              <w:t>Coking</w:t>
            </w:r>
            <w:proofErr w:type="spellEnd"/>
            <w:r>
              <w:rPr>
                <w:rFonts w:ascii="Times New Roman" w:eastAsia="Times New Roman" w:hAnsi="Times New Roman" w:cs="Times New Roman"/>
                <w:color w:val="000000"/>
                <w:sz w:val="20"/>
                <w:szCs w:val="20"/>
              </w:rPr>
              <w:t xml:space="preserve"> </w:t>
            </w:r>
            <w:proofErr w:type="spellStart"/>
            <w:r w:rsidRPr="005E22B2">
              <w:rPr>
                <w:rFonts w:ascii="Times New Roman" w:eastAsia="Times New Roman" w:hAnsi="Times New Roman" w:cs="Times New Roman"/>
                <w:color w:val="000000"/>
                <w:sz w:val="20"/>
                <w:szCs w:val="20"/>
              </w:rPr>
              <w:t>coal</w:t>
            </w:r>
            <w:proofErr w:type="spellEnd"/>
          </w:p>
        </w:tc>
        <w:tc>
          <w:tcPr>
            <w:tcW w:w="934" w:type="dxa"/>
            <w:tcBorders>
              <w:top w:val="nil"/>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center"/>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w:t>
            </w:r>
          </w:p>
        </w:tc>
        <w:tc>
          <w:tcPr>
            <w:tcW w:w="958"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146.05</w:t>
            </w:r>
          </w:p>
        </w:tc>
        <w:tc>
          <w:tcPr>
            <w:tcW w:w="992"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center"/>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w:t>
            </w:r>
          </w:p>
        </w:tc>
        <w:tc>
          <w:tcPr>
            <w:tcW w:w="993"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146.05</w:t>
            </w:r>
          </w:p>
        </w:tc>
        <w:tc>
          <w:tcPr>
            <w:tcW w:w="992"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center"/>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w:t>
            </w:r>
          </w:p>
        </w:tc>
      </w:tr>
      <w:tr w:rsidR="00773556" w:rsidRPr="005E22B2" w:rsidTr="00A8093A">
        <w:trPr>
          <w:trHeight w:val="300"/>
        </w:trPr>
        <w:tc>
          <w:tcPr>
            <w:tcW w:w="1149"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w:t>
            </w:r>
            <w:r w:rsidRPr="005E22B2">
              <w:rPr>
                <w:rFonts w:ascii="Times New Roman" w:eastAsia="Times New Roman" w:hAnsi="Times New Roman" w:cs="Times New Roman"/>
                <w:color w:val="000000"/>
                <w:sz w:val="20"/>
                <w:szCs w:val="20"/>
              </w:rPr>
              <w:t>ignite</w:t>
            </w:r>
            <w:proofErr w:type="spellEnd"/>
          </w:p>
        </w:tc>
        <w:tc>
          <w:tcPr>
            <w:tcW w:w="934" w:type="dxa"/>
            <w:tcBorders>
              <w:top w:val="nil"/>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239.02</w:t>
            </w:r>
          </w:p>
        </w:tc>
        <w:tc>
          <w:tcPr>
            <w:tcW w:w="958"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58.49</w:t>
            </w:r>
          </w:p>
        </w:tc>
        <w:tc>
          <w:tcPr>
            <w:tcW w:w="992"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center"/>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w:t>
            </w:r>
          </w:p>
        </w:tc>
        <w:tc>
          <w:tcPr>
            <w:tcW w:w="993"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58.49</w:t>
            </w:r>
          </w:p>
        </w:tc>
        <w:tc>
          <w:tcPr>
            <w:tcW w:w="992"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239.02</w:t>
            </w:r>
          </w:p>
        </w:tc>
      </w:tr>
      <w:tr w:rsidR="00773556" w:rsidRPr="005E22B2" w:rsidTr="00A8093A">
        <w:trPr>
          <w:trHeight w:val="300"/>
        </w:trPr>
        <w:tc>
          <w:tcPr>
            <w:tcW w:w="1149"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Pr="005E22B2">
              <w:rPr>
                <w:rFonts w:ascii="Times New Roman" w:eastAsia="Times New Roman" w:hAnsi="Times New Roman" w:cs="Times New Roman"/>
                <w:color w:val="000000"/>
                <w:sz w:val="20"/>
                <w:szCs w:val="20"/>
              </w:rPr>
              <w:t>il</w:t>
            </w:r>
          </w:p>
        </w:tc>
        <w:tc>
          <w:tcPr>
            <w:tcW w:w="934" w:type="dxa"/>
            <w:tcBorders>
              <w:top w:val="nil"/>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442.88</w:t>
            </w:r>
          </w:p>
        </w:tc>
        <w:tc>
          <w:tcPr>
            <w:tcW w:w="958"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211.90</w:t>
            </w:r>
          </w:p>
        </w:tc>
        <w:tc>
          <w:tcPr>
            <w:tcW w:w="992"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423.23</w:t>
            </w:r>
          </w:p>
        </w:tc>
        <w:tc>
          <w:tcPr>
            <w:tcW w:w="993"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211.90</w:t>
            </w:r>
          </w:p>
        </w:tc>
        <w:tc>
          <w:tcPr>
            <w:tcW w:w="992"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442.88</w:t>
            </w:r>
          </w:p>
        </w:tc>
      </w:tr>
      <w:tr w:rsidR="00773556" w:rsidRPr="005E22B2" w:rsidTr="00A8093A">
        <w:trPr>
          <w:trHeight w:val="300"/>
        </w:trPr>
        <w:tc>
          <w:tcPr>
            <w:tcW w:w="1149" w:type="dxa"/>
            <w:tcBorders>
              <w:top w:val="nil"/>
              <w:left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w:t>
            </w:r>
            <w:r w:rsidRPr="005E22B2">
              <w:rPr>
                <w:rFonts w:ascii="Times New Roman" w:eastAsia="Times New Roman" w:hAnsi="Times New Roman" w:cs="Times New Roman"/>
                <w:color w:val="000000"/>
                <w:sz w:val="20"/>
                <w:szCs w:val="20"/>
              </w:rPr>
              <w:t>iofuel</w:t>
            </w:r>
            <w:proofErr w:type="spellEnd"/>
          </w:p>
        </w:tc>
        <w:tc>
          <w:tcPr>
            <w:tcW w:w="934" w:type="dxa"/>
            <w:tcBorders>
              <w:top w:val="nil"/>
              <w:left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right w:val="nil"/>
            </w:tcBorders>
            <w:shd w:val="clear" w:color="auto" w:fill="auto"/>
            <w:noWrap/>
            <w:vAlign w:val="bottom"/>
            <w:hideMark/>
          </w:tcPr>
          <w:p w:rsidR="00773556" w:rsidRPr="005E22B2" w:rsidRDefault="00773556" w:rsidP="00A8093A">
            <w:pPr>
              <w:spacing w:after="0" w:line="240" w:lineRule="auto"/>
              <w:jc w:val="center"/>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w:t>
            </w:r>
          </w:p>
        </w:tc>
        <w:tc>
          <w:tcPr>
            <w:tcW w:w="958" w:type="dxa"/>
            <w:tcBorders>
              <w:top w:val="nil"/>
              <w:left w:val="nil"/>
              <w:right w:val="nil"/>
            </w:tcBorders>
            <w:shd w:val="clear" w:color="auto" w:fill="auto"/>
            <w:noWrap/>
            <w:vAlign w:val="bottom"/>
            <w:hideMark/>
          </w:tcPr>
          <w:p w:rsidR="00773556" w:rsidRPr="005E22B2" w:rsidRDefault="00773556" w:rsidP="00A8093A">
            <w:pPr>
              <w:spacing w:after="0" w:line="240" w:lineRule="auto"/>
              <w:jc w:val="center"/>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w:t>
            </w:r>
          </w:p>
        </w:tc>
        <w:tc>
          <w:tcPr>
            <w:tcW w:w="992" w:type="dxa"/>
            <w:tcBorders>
              <w:top w:val="nil"/>
              <w:left w:val="nil"/>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1288.93</w:t>
            </w:r>
          </w:p>
        </w:tc>
        <w:tc>
          <w:tcPr>
            <w:tcW w:w="993" w:type="dxa"/>
            <w:tcBorders>
              <w:top w:val="nil"/>
              <w:left w:val="nil"/>
              <w:right w:val="nil"/>
            </w:tcBorders>
            <w:shd w:val="clear" w:color="auto" w:fill="auto"/>
            <w:noWrap/>
            <w:vAlign w:val="bottom"/>
            <w:hideMark/>
          </w:tcPr>
          <w:p w:rsidR="00773556" w:rsidRPr="005E22B2" w:rsidRDefault="00773556" w:rsidP="00A8093A">
            <w:pPr>
              <w:spacing w:after="0" w:line="240" w:lineRule="auto"/>
              <w:jc w:val="center"/>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w:t>
            </w:r>
          </w:p>
        </w:tc>
        <w:tc>
          <w:tcPr>
            <w:tcW w:w="992" w:type="dxa"/>
            <w:tcBorders>
              <w:top w:val="nil"/>
              <w:left w:val="nil"/>
              <w:right w:val="nil"/>
            </w:tcBorders>
            <w:shd w:val="clear" w:color="auto" w:fill="auto"/>
            <w:noWrap/>
            <w:vAlign w:val="bottom"/>
            <w:hideMark/>
          </w:tcPr>
          <w:p w:rsidR="00773556" w:rsidRPr="005E22B2" w:rsidRDefault="00773556" w:rsidP="00A8093A">
            <w:pPr>
              <w:spacing w:after="0" w:line="240" w:lineRule="auto"/>
              <w:jc w:val="center"/>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w:t>
            </w:r>
          </w:p>
        </w:tc>
      </w:tr>
      <w:tr w:rsidR="00773556" w:rsidRPr="005E22B2" w:rsidTr="00A8093A">
        <w:trPr>
          <w:trHeight w:val="300"/>
        </w:trPr>
        <w:tc>
          <w:tcPr>
            <w:tcW w:w="1149" w:type="dxa"/>
            <w:tcBorders>
              <w:top w:val="nil"/>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w:t>
            </w:r>
            <w:r w:rsidRPr="005E22B2">
              <w:rPr>
                <w:rFonts w:ascii="Times New Roman" w:eastAsia="Times New Roman" w:hAnsi="Times New Roman" w:cs="Times New Roman"/>
                <w:color w:val="000000"/>
                <w:sz w:val="20"/>
                <w:szCs w:val="20"/>
              </w:rPr>
              <w:t>iomass</w:t>
            </w:r>
            <w:proofErr w:type="spellEnd"/>
          </w:p>
        </w:tc>
        <w:tc>
          <w:tcPr>
            <w:tcW w:w="934" w:type="dxa"/>
            <w:tcBorders>
              <w:top w:val="nil"/>
              <w:left w:val="nil"/>
              <w:bottom w:val="single" w:sz="4" w:space="0" w:color="auto"/>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1231.65</w:t>
            </w:r>
          </w:p>
        </w:tc>
        <w:tc>
          <w:tcPr>
            <w:tcW w:w="958" w:type="dxa"/>
            <w:tcBorders>
              <w:top w:val="nil"/>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295.60</w:t>
            </w:r>
          </w:p>
        </w:tc>
        <w:tc>
          <w:tcPr>
            <w:tcW w:w="992" w:type="dxa"/>
            <w:tcBorders>
              <w:top w:val="nil"/>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center"/>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w:t>
            </w:r>
          </w:p>
        </w:tc>
        <w:tc>
          <w:tcPr>
            <w:tcW w:w="993" w:type="dxa"/>
            <w:tcBorders>
              <w:top w:val="nil"/>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295.60</w:t>
            </w:r>
          </w:p>
        </w:tc>
        <w:tc>
          <w:tcPr>
            <w:tcW w:w="992" w:type="dxa"/>
            <w:tcBorders>
              <w:top w:val="nil"/>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1231.65</w:t>
            </w:r>
          </w:p>
        </w:tc>
      </w:tr>
    </w:tbl>
    <w:p w:rsidR="00773556" w:rsidRDefault="00773556" w:rsidP="00773556">
      <w:pPr>
        <w:rPr>
          <w:rFonts w:ascii="Times New Roman" w:hAnsi="Times New Roman" w:cs="Times New Roman"/>
          <w:sz w:val="20"/>
          <w:szCs w:val="20"/>
          <w:lang w:val="en-US"/>
        </w:rPr>
      </w:pPr>
    </w:p>
    <w:p w:rsidR="00773556" w:rsidRDefault="00773556" w:rsidP="00773556">
      <w:pPr>
        <w:rPr>
          <w:lang w:val="en-US"/>
        </w:rPr>
      </w:pPr>
      <w:r>
        <w:rPr>
          <w:lang w:val="en-US"/>
        </w:rPr>
        <w:br w:type="page"/>
      </w:r>
    </w:p>
    <w:p w:rsidR="00773556" w:rsidRPr="005E22B2" w:rsidRDefault="00773556" w:rsidP="00773556">
      <w:p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Table 18 End-user prices in RU2</w:t>
      </w:r>
      <w:r w:rsidRPr="005E22B2">
        <w:rPr>
          <w:rFonts w:ascii="Times New Roman" w:hAnsi="Times New Roman" w:cs="Times New Roman"/>
          <w:b/>
          <w:sz w:val="20"/>
          <w:szCs w:val="20"/>
          <w:lang w:val="en-US"/>
        </w:rPr>
        <w:t xml:space="preserve"> (€2009/toe)</w:t>
      </w:r>
    </w:p>
    <w:tbl>
      <w:tblPr>
        <w:tblW w:w="7103" w:type="dxa"/>
        <w:tblInd w:w="55" w:type="dxa"/>
        <w:tblCellMar>
          <w:left w:w="70" w:type="dxa"/>
          <w:right w:w="70" w:type="dxa"/>
        </w:tblCellMar>
        <w:tblLook w:val="04A0" w:firstRow="1" w:lastRow="0" w:firstColumn="1" w:lastColumn="0" w:noHBand="0" w:noVBand="1"/>
      </w:tblPr>
      <w:tblGrid>
        <w:gridCol w:w="1149"/>
        <w:gridCol w:w="934"/>
        <w:gridCol w:w="1085"/>
        <w:gridCol w:w="958"/>
        <w:gridCol w:w="992"/>
        <w:gridCol w:w="993"/>
        <w:gridCol w:w="992"/>
      </w:tblGrid>
      <w:tr w:rsidR="00773556" w:rsidRPr="00AD6CEA" w:rsidTr="00A8093A">
        <w:trPr>
          <w:trHeight w:val="300"/>
        </w:trPr>
        <w:tc>
          <w:tcPr>
            <w:tcW w:w="1149" w:type="dxa"/>
            <w:tcBorders>
              <w:top w:val="single" w:sz="4" w:space="0" w:color="auto"/>
              <w:left w:val="nil"/>
              <w:bottom w:val="single" w:sz="4" w:space="0" w:color="auto"/>
              <w:right w:val="nil"/>
            </w:tcBorders>
            <w:shd w:val="clear" w:color="auto" w:fill="auto"/>
            <w:noWrap/>
            <w:vAlign w:val="bottom"/>
            <w:hideMark/>
          </w:tcPr>
          <w:p w:rsidR="00773556" w:rsidRPr="007A1295" w:rsidRDefault="00773556" w:rsidP="00A8093A">
            <w:pPr>
              <w:spacing w:after="0" w:line="240" w:lineRule="auto"/>
              <w:rPr>
                <w:rFonts w:ascii="Calibri" w:eastAsia="Times New Roman" w:hAnsi="Calibri" w:cs="Times New Roman"/>
                <w:color w:val="000000"/>
                <w:lang w:val="en-US"/>
              </w:rPr>
            </w:pPr>
          </w:p>
        </w:tc>
        <w:tc>
          <w:tcPr>
            <w:tcW w:w="934" w:type="dxa"/>
            <w:tcBorders>
              <w:top w:val="single" w:sz="4" w:space="0" w:color="auto"/>
              <w:left w:val="nil"/>
              <w:bottom w:val="single" w:sz="4" w:space="0" w:color="auto"/>
              <w:right w:val="nil"/>
            </w:tcBorders>
          </w:tcPr>
          <w:p w:rsidR="00773556" w:rsidRPr="007A1295" w:rsidRDefault="00773556" w:rsidP="00A8093A">
            <w:pPr>
              <w:spacing w:after="0" w:line="240" w:lineRule="auto"/>
              <w:jc w:val="right"/>
              <w:rPr>
                <w:rFonts w:ascii="Times New Roman" w:eastAsia="Times New Roman" w:hAnsi="Times New Roman" w:cs="Times New Roman"/>
                <w:color w:val="000000"/>
                <w:sz w:val="20"/>
                <w:szCs w:val="20"/>
                <w:lang w:val="en-US"/>
              </w:rPr>
            </w:pPr>
          </w:p>
        </w:tc>
        <w:tc>
          <w:tcPr>
            <w:tcW w:w="1085" w:type="dxa"/>
            <w:tcBorders>
              <w:top w:val="single" w:sz="4" w:space="0" w:color="auto"/>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5E22B2">
              <w:rPr>
                <w:rFonts w:ascii="Times New Roman" w:eastAsia="Times New Roman" w:hAnsi="Times New Roman" w:cs="Times New Roman"/>
                <w:color w:val="000000"/>
                <w:sz w:val="20"/>
                <w:szCs w:val="20"/>
              </w:rPr>
              <w:t>ouseholds</w:t>
            </w:r>
          </w:p>
        </w:tc>
        <w:tc>
          <w:tcPr>
            <w:tcW w:w="958" w:type="dxa"/>
            <w:tcBorders>
              <w:top w:val="single" w:sz="4" w:space="0" w:color="auto"/>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Pr="005E22B2">
              <w:rPr>
                <w:rFonts w:ascii="Times New Roman" w:eastAsia="Times New Roman" w:hAnsi="Times New Roman" w:cs="Times New Roman"/>
                <w:color w:val="000000"/>
                <w:sz w:val="20"/>
                <w:szCs w:val="20"/>
              </w:rPr>
              <w:t>ndustry</w:t>
            </w:r>
          </w:p>
        </w:tc>
        <w:tc>
          <w:tcPr>
            <w:tcW w:w="992" w:type="dxa"/>
            <w:tcBorders>
              <w:top w:val="single" w:sz="4" w:space="0" w:color="auto"/>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Pr="005E22B2">
              <w:rPr>
                <w:rFonts w:ascii="Times New Roman" w:eastAsia="Times New Roman" w:hAnsi="Times New Roman" w:cs="Times New Roman"/>
                <w:color w:val="000000"/>
                <w:sz w:val="20"/>
                <w:szCs w:val="20"/>
              </w:rPr>
              <w:t>ransport</w:t>
            </w:r>
          </w:p>
        </w:tc>
        <w:tc>
          <w:tcPr>
            <w:tcW w:w="993" w:type="dxa"/>
            <w:tcBorders>
              <w:top w:val="single" w:sz="4" w:space="0" w:color="auto"/>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Electricity</w:t>
            </w:r>
            <w:proofErr w:type="spellEnd"/>
            <w:r>
              <w:rPr>
                <w:rFonts w:ascii="Times New Roman" w:eastAsia="Times New Roman" w:hAnsi="Times New Roman" w:cs="Times New Roman"/>
                <w:color w:val="000000"/>
                <w:sz w:val="20"/>
                <w:szCs w:val="20"/>
              </w:rPr>
              <w:t xml:space="preserve"> </w:t>
            </w:r>
            <w:r w:rsidRPr="005E22B2">
              <w:rPr>
                <w:rFonts w:ascii="Times New Roman" w:eastAsia="Times New Roman" w:hAnsi="Times New Roman" w:cs="Times New Roman"/>
                <w:color w:val="000000"/>
                <w:sz w:val="20"/>
                <w:szCs w:val="20"/>
              </w:rPr>
              <w:t>producers</w:t>
            </w:r>
          </w:p>
        </w:tc>
        <w:tc>
          <w:tcPr>
            <w:tcW w:w="992" w:type="dxa"/>
            <w:tcBorders>
              <w:top w:val="single" w:sz="4" w:space="0" w:color="auto"/>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5E22B2">
              <w:rPr>
                <w:rFonts w:ascii="Times New Roman" w:eastAsia="Times New Roman" w:hAnsi="Times New Roman" w:cs="Times New Roman"/>
                <w:color w:val="000000"/>
                <w:sz w:val="20"/>
                <w:szCs w:val="20"/>
              </w:rPr>
              <w:t>ervices</w:t>
            </w:r>
          </w:p>
        </w:tc>
      </w:tr>
      <w:tr w:rsidR="00773556" w:rsidRPr="00AD6CEA" w:rsidTr="00A8093A">
        <w:trPr>
          <w:trHeight w:val="300"/>
        </w:trPr>
        <w:tc>
          <w:tcPr>
            <w:tcW w:w="1149" w:type="dxa"/>
            <w:tcBorders>
              <w:top w:val="single" w:sz="4" w:space="0" w:color="auto"/>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E</w:t>
            </w:r>
            <w:r w:rsidRPr="005E22B2">
              <w:rPr>
                <w:rFonts w:ascii="Times New Roman" w:eastAsia="Times New Roman" w:hAnsi="Times New Roman" w:cs="Times New Roman"/>
                <w:color w:val="000000"/>
                <w:sz w:val="20"/>
                <w:szCs w:val="20"/>
              </w:rPr>
              <w:t>lectricity</w:t>
            </w:r>
            <w:proofErr w:type="spellEnd"/>
          </w:p>
        </w:tc>
        <w:tc>
          <w:tcPr>
            <w:tcW w:w="934" w:type="dxa"/>
            <w:tcBorders>
              <w:top w:val="single" w:sz="4" w:space="0" w:color="auto"/>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eastAsia="Times New Roman" w:hAnsi="Times New Roman" w:cs="Times New Roman"/>
                <w:i/>
                <w:color w:val="000000"/>
                <w:sz w:val="20"/>
                <w:szCs w:val="20"/>
              </w:rPr>
              <w:t>€</w:t>
            </w:r>
            <w:r w:rsidRPr="00EF48F2">
              <w:rPr>
                <w:rFonts w:ascii="Times New Roman" w:eastAsia="Times New Roman" w:hAnsi="Times New Roman" w:cs="Times New Roman"/>
                <w:i/>
                <w:color w:val="000000"/>
                <w:sz w:val="20"/>
                <w:szCs w:val="20"/>
                <w:vertAlign w:val="subscript"/>
              </w:rPr>
              <w:t>2009</w:t>
            </w:r>
            <w:r w:rsidRPr="00EF48F2">
              <w:rPr>
                <w:rFonts w:ascii="Times New Roman" w:eastAsia="Times New Roman" w:hAnsi="Times New Roman" w:cs="Times New Roman"/>
                <w:i/>
                <w:color w:val="000000"/>
                <w:sz w:val="20"/>
                <w:szCs w:val="20"/>
              </w:rPr>
              <w:t>/</w:t>
            </w:r>
            <w:proofErr w:type="spellStart"/>
            <w:r w:rsidRPr="00EF48F2">
              <w:rPr>
                <w:rFonts w:ascii="Times New Roman" w:eastAsia="Times New Roman" w:hAnsi="Times New Roman" w:cs="Times New Roman"/>
                <w:i/>
                <w:color w:val="000000"/>
                <w:sz w:val="20"/>
                <w:szCs w:val="20"/>
              </w:rPr>
              <w:t>TWh</w:t>
            </w:r>
            <w:proofErr w:type="spellEnd"/>
          </w:p>
        </w:tc>
        <w:tc>
          <w:tcPr>
            <w:tcW w:w="1085" w:type="dxa"/>
            <w:tcBorders>
              <w:top w:val="single" w:sz="4" w:space="0" w:color="auto"/>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26.98</w:t>
            </w:r>
          </w:p>
        </w:tc>
        <w:tc>
          <w:tcPr>
            <w:tcW w:w="958" w:type="dxa"/>
            <w:tcBorders>
              <w:top w:val="single" w:sz="4" w:space="0" w:color="auto"/>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40.04</w:t>
            </w:r>
          </w:p>
        </w:tc>
        <w:tc>
          <w:tcPr>
            <w:tcW w:w="992" w:type="dxa"/>
            <w:tcBorders>
              <w:top w:val="single" w:sz="4" w:space="0" w:color="auto"/>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40.04</w:t>
            </w:r>
          </w:p>
        </w:tc>
        <w:tc>
          <w:tcPr>
            <w:tcW w:w="993" w:type="dxa"/>
            <w:tcBorders>
              <w:top w:val="single" w:sz="4" w:space="0" w:color="auto"/>
              <w:left w:val="nil"/>
              <w:bottom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92" w:type="dxa"/>
            <w:tcBorders>
              <w:top w:val="single" w:sz="4" w:space="0" w:color="auto"/>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59.46</w:t>
            </w:r>
          </w:p>
        </w:tc>
      </w:tr>
      <w:tr w:rsidR="00773556" w:rsidRPr="00AD6CEA" w:rsidTr="00A8093A">
        <w:trPr>
          <w:trHeight w:val="300"/>
        </w:trPr>
        <w:tc>
          <w:tcPr>
            <w:tcW w:w="1149"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r w:rsidRPr="005E22B2">
              <w:rPr>
                <w:rFonts w:ascii="Times New Roman" w:eastAsia="Times New Roman" w:hAnsi="Times New Roman" w:cs="Times New Roman"/>
                <w:color w:val="000000"/>
                <w:sz w:val="20"/>
                <w:szCs w:val="20"/>
              </w:rPr>
              <w:t>as</w:t>
            </w:r>
          </w:p>
        </w:tc>
        <w:tc>
          <w:tcPr>
            <w:tcW w:w="934" w:type="dxa"/>
            <w:tcBorders>
              <w:top w:val="nil"/>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52.09</w:t>
            </w:r>
          </w:p>
        </w:tc>
        <w:tc>
          <w:tcPr>
            <w:tcW w:w="958"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64.74</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93"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64.74</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64.74</w:t>
            </w:r>
          </w:p>
        </w:tc>
      </w:tr>
      <w:tr w:rsidR="00773556" w:rsidRPr="00AD6CEA" w:rsidTr="00A8093A">
        <w:trPr>
          <w:trHeight w:val="300"/>
        </w:trPr>
        <w:tc>
          <w:tcPr>
            <w:tcW w:w="1149"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Steam</w:t>
            </w:r>
            <w:r>
              <w:rPr>
                <w:rFonts w:ascii="Times New Roman" w:eastAsia="Times New Roman" w:hAnsi="Times New Roman" w:cs="Times New Roman"/>
                <w:color w:val="000000"/>
                <w:sz w:val="20"/>
                <w:szCs w:val="20"/>
              </w:rPr>
              <w:t xml:space="preserve"> </w:t>
            </w:r>
            <w:proofErr w:type="spellStart"/>
            <w:r w:rsidRPr="005E22B2">
              <w:rPr>
                <w:rFonts w:ascii="Times New Roman" w:eastAsia="Times New Roman" w:hAnsi="Times New Roman" w:cs="Times New Roman"/>
                <w:color w:val="000000"/>
                <w:sz w:val="20"/>
                <w:szCs w:val="20"/>
              </w:rPr>
              <w:t>coal</w:t>
            </w:r>
            <w:proofErr w:type="spellEnd"/>
          </w:p>
        </w:tc>
        <w:tc>
          <w:tcPr>
            <w:tcW w:w="934" w:type="dxa"/>
            <w:tcBorders>
              <w:top w:val="nil"/>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224.86</w:t>
            </w:r>
          </w:p>
        </w:tc>
        <w:tc>
          <w:tcPr>
            <w:tcW w:w="958"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46.49</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93"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46.49</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224.86</w:t>
            </w:r>
          </w:p>
        </w:tc>
      </w:tr>
      <w:tr w:rsidR="00773556" w:rsidRPr="00AD6CEA" w:rsidTr="00A8093A">
        <w:trPr>
          <w:trHeight w:val="300"/>
        </w:trPr>
        <w:tc>
          <w:tcPr>
            <w:tcW w:w="1149"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proofErr w:type="spellStart"/>
            <w:r w:rsidRPr="005E22B2">
              <w:rPr>
                <w:rFonts w:ascii="Times New Roman" w:eastAsia="Times New Roman" w:hAnsi="Times New Roman" w:cs="Times New Roman"/>
                <w:color w:val="000000"/>
                <w:sz w:val="20"/>
                <w:szCs w:val="20"/>
              </w:rPr>
              <w:t>Coking</w:t>
            </w:r>
            <w:proofErr w:type="spellEnd"/>
            <w:r>
              <w:rPr>
                <w:rFonts w:ascii="Times New Roman" w:eastAsia="Times New Roman" w:hAnsi="Times New Roman" w:cs="Times New Roman"/>
                <w:color w:val="000000"/>
                <w:sz w:val="20"/>
                <w:szCs w:val="20"/>
              </w:rPr>
              <w:t xml:space="preserve"> </w:t>
            </w:r>
            <w:proofErr w:type="spellStart"/>
            <w:r w:rsidRPr="005E22B2">
              <w:rPr>
                <w:rFonts w:ascii="Times New Roman" w:eastAsia="Times New Roman" w:hAnsi="Times New Roman" w:cs="Times New Roman"/>
                <w:color w:val="000000"/>
                <w:sz w:val="20"/>
                <w:szCs w:val="20"/>
              </w:rPr>
              <w:t>coal</w:t>
            </w:r>
            <w:proofErr w:type="spellEnd"/>
          </w:p>
        </w:tc>
        <w:tc>
          <w:tcPr>
            <w:tcW w:w="934" w:type="dxa"/>
            <w:tcBorders>
              <w:top w:val="nil"/>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58"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123.36</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93"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123.36</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r>
      <w:tr w:rsidR="00773556" w:rsidRPr="00AD6CEA" w:rsidTr="00A8093A">
        <w:trPr>
          <w:trHeight w:val="300"/>
        </w:trPr>
        <w:tc>
          <w:tcPr>
            <w:tcW w:w="1149"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w:t>
            </w:r>
            <w:r w:rsidRPr="005E22B2">
              <w:rPr>
                <w:rFonts w:ascii="Times New Roman" w:eastAsia="Times New Roman" w:hAnsi="Times New Roman" w:cs="Times New Roman"/>
                <w:color w:val="000000"/>
                <w:sz w:val="20"/>
                <w:szCs w:val="20"/>
              </w:rPr>
              <w:t>ignite</w:t>
            </w:r>
            <w:proofErr w:type="spellEnd"/>
          </w:p>
        </w:tc>
        <w:tc>
          <w:tcPr>
            <w:tcW w:w="934" w:type="dxa"/>
            <w:tcBorders>
              <w:top w:val="nil"/>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220.55</w:t>
            </w:r>
          </w:p>
        </w:tc>
        <w:tc>
          <w:tcPr>
            <w:tcW w:w="958"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42.84</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93"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42.84</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220.55</w:t>
            </w:r>
          </w:p>
        </w:tc>
      </w:tr>
      <w:tr w:rsidR="00773556" w:rsidRPr="00AD6CEA" w:rsidTr="00A8093A">
        <w:trPr>
          <w:trHeight w:val="300"/>
        </w:trPr>
        <w:tc>
          <w:tcPr>
            <w:tcW w:w="1149"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Pr="005E22B2">
              <w:rPr>
                <w:rFonts w:ascii="Times New Roman" w:eastAsia="Times New Roman" w:hAnsi="Times New Roman" w:cs="Times New Roman"/>
                <w:color w:val="000000"/>
                <w:sz w:val="20"/>
                <w:szCs w:val="20"/>
              </w:rPr>
              <w:t>il</w:t>
            </w:r>
          </w:p>
        </w:tc>
        <w:tc>
          <w:tcPr>
            <w:tcW w:w="934" w:type="dxa"/>
            <w:tcBorders>
              <w:top w:val="nil"/>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424.67</w:t>
            </w:r>
          </w:p>
        </w:tc>
        <w:tc>
          <w:tcPr>
            <w:tcW w:w="958"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196.47</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449.10</w:t>
            </w:r>
          </w:p>
        </w:tc>
        <w:tc>
          <w:tcPr>
            <w:tcW w:w="993"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196.47</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424.67</w:t>
            </w:r>
          </w:p>
        </w:tc>
      </w:tr>
      <w:tr w:rsidR="00773556" w:rsidRPr="00AD6CEA" w:rsidTr="00A8093A">
        <w:trPr>
          <w:trHeight w:val="300"/>
        </w:trPr>
        <w:tc>
          <w:tcPr>
            <w:tcW w:w="1149" w:type="dxa"/>
            <w:tcBorders>
              <w:top w:val="nil"/>
              <w:left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w:t>
            </w:r>
            <w:r w:rsidRPr="005E22B2">
              <w:rPr>
                <w:rFonts w:ascii="Times New Roman" w:eastAsia="Times New Roman" w:hAnsi="Times New Roman" w:cs="Times New Roman"/>
                <w:color w:val="000000"/>
                <w:sz w:val="20"/>
                <w:szCs w:val="20"/>
              </w:rPr>
              <w:t>iofuel</w:t>
            </w:r>
            <w:proofErr w:type="spellEnd"/>
          </w:p>
        </w:tc>
        <w:tc>
          <w:tcPr>
            <w:tcW w:w="934" w:type="dxa"/>
            <w:tcBorders>
              <w:top w:val="nil"/>
              <w:left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58" w:type="dxa"/>
            <w:tcBorders>
              <w:top w:val="nil"/>
              <w:left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92" w:type="dxa"/>
            <w:tcBorders>
              <w:top w:val="nil"/>
              <w:left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1288.93</w:t>
            </w:r>
          </w:p>
        </w:tc>
        <w:tc>
          <w:tcPr>
            <w:tcW w:w="993" w:type="dxa"/>
            <w:tcBorders>
              <w:top w:val="nil"/>
              <w:left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92" w:type="dxa"/>
            <w:tcBorders>
              <w:top w:val="nil"/>
              <w:left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r>
      <w:tr w:rsidR="00773556" w:rsidRPr="00AD6CEA" w:rsidTr="00A8093A">
        <w:trPr>
          <w:trHeight w:val="300"/>
        </w:trPr>
        <w:tc>
          <w:tcPr>
            <w:tcW w:w="1149" w:type="dxa"/>
            <w:tcBorders>
              <w:top w:val="nil"/>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w:t>
            </w:r>
            <w:r w:rsidRPr="005E22B2">
              <w:rPr>
                <w:rFonts w:ascii="Times New Roman" w:eastAsia="Times New Roman" w:hAnsi="Times New Roman" w:cs="Times New Roman"/>
                <w:color w:val="000000"/>
                <w:sz w:val="20"/>
                <w:szCs w:val="20"/>
              </w:rPr>
              <w:t>iomass</w:t>
            </w:r>
            <w:proofErr w:type="spellEnd"/>
          </w:p>
        </w:tc>
        <w:tc>
          <w:tcPr>
            <w:tcW w:w="934" w:type="dxa"/>
            <w:tcBorders>
              <w:top w:val="nil"/>
              <w:left w:val="nil"/>
              <w:bottom w:val="single" w:sz="4" w:space="0" w:color="auto"/>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single" w:sz="4" w:space="0" w:color="auto"/>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718.46</w:t>
            </w:r>
          </w:p>
        </w:tc>
        <w:tc>
          <w:tcPr>
            <w:tcW w:w="958" w:type="dxa"/>
            <w:tcBorders>
              <w:top w:val="nil"/>
              <w:left w:val="nil"/>
              <w:bottom w:val="single" w:sz="4" w:space="0" w:color="auto"/>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172.43</w:t>
            </w:r>
          </w:p>
        </w:tc>
        <w:tc>
          <w:tcPr>
            <w:tcW w:w="992" w:type="dxa"/>
            <w:tcBorders>
              <w:top w:val="nil"/>
              <w:left w:val="nil"/>
              <w:bottom w:val="single" w:sz="4" w:space="0" w:color="auto"/>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93" w:type="dxa"/>
            <w:tcBorders>
              <w:top w:val="nil"/>
              <w:left w:val="nil"/>
              <w:bottom w:val="single" w:sz="4" w:space="0" w:color="auto"/>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172.43</w:t>
            </w:r>
          </w:p>
        </w:tc>
        <w:tc>
          <w:tcPr>
            <w:tcW w:w="992" w:type="dxa"/>
            <w:tcBorders>
              <w:top w:val="nil"/>
              <w:left w:val="nil"/>
              <w:bottom w:val="single" w:sz="4" w:space="0" w:color="auto"/>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718.46</w:t>
            </w:r>
          </w:p>
        </w:tc>
      </w:tr>
    </w:tbl>
    <w:p w:rsidR="00773556" w:rsidRDefault="00773556" w:rsidP="00773556">
      <w:pPr>
        <w:rPr>
          <w:rFonts w:ascii="Times New Roman" w:hAnsi="Times New Roman" w:cs="Times New Roman"/>
          <w:sz w:val="20"/>
          <w:szCs w:val="20"/>
          <w:lang w:val="en-US"/>
        </w:rPr>
      </w:pPr>
    </w:p>
    <w:p w:rsidR="00773556" w:rsidRPr="005E22B2" w:rsidRDefault="00773556" w:rsidP="00773556">
      <w:pPr>
        <w:rPr>
          <w:rFonts w:ascii="Times New Roman" w:hAnsi="Times New Roman" w:cs="Times New Roman"/>
          <w:b/>
          <w:sz w:val="20"/>
          <w:szCs w:val="20"/>
          <w:lang w:val="en-US"/>
        </w:rPr>
      </w:pPr>
      <w:r>
        <w:rPr>
          <w:rFonts w:ascii="Times New Roman" w:hAnsi="Times New Roman" w:cs="Times New Roman"/>
          <w:b/>
          <w:sz w:val="20"/>
          <w:szCs w:val="20"/>
          <w:lang w:val="en-US"/>
        </w:rPr>
        <w:t xml:space="preserve">Table 19 </w:t>
      </w:r>
      <w:r w:rsidRPr="005E22B2">
        <w:rPr>
          <w:rFonts w:ascii="Times New Roman" w:hAnsi="Times New Roman" w:cs="Times New Roman"/>
          <w:b/>
          <w:sz w:val="20"/>
          <w:szCs w:val="20"/>
          <w:lang w:val="en-US"/>
        </w:rPr>
        <w:t>End-user prices in RU</w:t>
      </w:r>
      <w:r>
        <w:rPr>
          <w:rFonts w:ascii="Times New Roman" w:hAnsi="Times New Roman" w:cs="Times New Roman"/>
          <w:b/>
          <w:sz w:val="20"/>
          <w:szCs w:val="20"/>
          <w:lang w:val="en-US"/>
        </w:rPr>
        <w:t>3</w:t>
      </w:r>
      <w:r w:rsidRPr="005E22B2">
        <w:rPr>
          <w:rFonts w:ascii="Times New Roman" w:hAnsi="Times New Roman" w:cs="Times New Roman"/>
          <w:b/>
          <w:sz w:val="20"/>
          <w:szCs w:val="20"/>
          <w:lang w:val="en-US"/>
        </w:rPr>
        <w:t xml:space="preserve"> (€2009/toe)</w:t>
      </w:r>
    </w:p>
    <w:tbl>
      <w:tblPr>
        <w:tblW w:w="7103" w:type="dxa"/>
        <w:tblInd w:w="55" w:type="dxa"/>
        <w:tblCellMar>
          <w:left w:w="70" w:type="dxa"/>
          <w:right w:w="70" w:type="dxa"/>
        </w:tblCellMar>
        <w:tblLook w:val="04A0" w:firstRow="1" w:lastRow="0" w:firstColumn="1" w:lastColumn="0" w:noHBand="0" w:noVBand="1"/>
      </w:tblPr>
      <w:tblGrid>
        <w:gridCol w:w="1149"/>
        <w:gridCol w:w="934"/>
        <w:gridCol w:w="1085"/>
        <w:gridCol w:w="958"/>
        <w:gridCol w:w="992"/>
        <w:gridCol w:w="993"/>
        <w:gridCol w:w="992"/>
      </w:tblGrid>
      <w:tr w:rsidR="00773556" w:rsidRPr="00AD6CEA" w:rsidTr="00A8093A">
        <w:trPr>
          <w:trHeight w:val="300"/>
        </w:trPr>
        <w:tc>
          <w:tcPr>
            <w:tcW w:w="1149" w:type="dxa"/>
            <w:tcBorders>
              <w:top w:val="single" w:sz="4" w:space="0" w:color="auto"/>
              <w:left w:val="nil"/>
              <w:bottom w:val="single" w:sz="4" w:space="0" w:color="auto"/>
              <w:right w:val="nil"/>
            </w:tcBorders>
            <w:shd w:val="clear" w:color="auto" w:fill="auto"/>
            <w:noWrap/>
            <w:vAlign w:val="bottom"/>
            <w:hideMark/>
          </w:tcPr>
          <w:p w:rsidR="00773556" w:rsidRPr="00AD6CEA" w:rsidRDefault="00773556" w:rsidP="00A8093A">
            <w:pPr>
              <w:spacing w:after="0" w:line="240" w:lineRule="auto"/>
              <w:rPr>
                <w:rFonts w:ascii="Calibri" w:eastAsia="Times New Roman" w:hAnsi="Calibri" w:cs="Times New Roman"/>
                <w:color w:val="000000"/>
                <w:lang w:val="en-US"/>
              </w:rPr>
            </w:pPr>
          </w:p>
        </w:tc>
        <w:tc>
          <w:tcPr>
            <w:tcW w:w="934" w:type="dxa"/>
            <w:tcBorders>
              <w:top w:val="single" w:sz="4" w:space="0" w:color="auto"/>
              <w:left w:val="nil"/>
              <w:bottom w:val="single" w:sz="4" w:space="0" w:color="auto"/>
              <w:right w:val="nil"/>
            </w:tcBorders>
          </w:tcPr>
          <w:p w:rsidR="00773556" w:rsidRPr="007A1295" w:rsidRDefault="00773556" w:rsidP="00A8093A">
            <w:pPr>
              <w:spacing w:after="0" w:line="240" w:lineRule="auto"/>
              <w:jc w:val="right"/>
              <w:rPr>
                <w:rFonts w:ascii="Times New Roman" w:eastAsia="Times New Roman" w:hAnsi="Times New Roman" w:cs="Times New Roman"/>
                <w:color w:val="000000"/>
                <w:sz w:val="20"/>
                <w:szCs w:val="20"/>
                <w:lang w:val="en-US"/>
              </w:rPr>
            </w:pPr>
          </w:p>
        </w:tc>
        <w:tc>
          <w:tcPr>
            <w:tcW w:w="1085" w:type="dxa"/>
            <w:tcBorders>
              <w:top w:val="single" w:sz="4" w:space="0" w:color="auto"/>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5E22B2">
              <w:rPr>
                <w:rFonts w:ascii="Times New Roman" w:eastAsia="Times New Roman" w:hAnsi="Times New Roman" w:cs="Times New Roman"/>
                <w:color w:val="000000"/>
                <w:sz w:val="20"/>
                <w:szCs w:val="20"/>
              </w:rPr>
              <w:t>ouseholds</w:t>
            </w:r>
          </w:p>
        </w:tc>
        <w:tc>
          <w:tcPr>
            <w:tcW w:w="958" w:type="dxa"/>
            <w:tcBorders>
              <w:top w:val="single" w:sz="4" w:space="0" w:color="auto"/>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Pr="005E22B2">
              <w:rPr>
                <w:rFonts w:ascii="Times New Roman" w:eastAsia="Times New Roman" w:hAnsi="Times New Roman" w:cs="Times New Roman"/>
                <w:color w:val="000000"/>
                <w:sz w:val="20"/>
                <w:szCs w:val="20"/>
              </w:rPr>
              <w:t>ndustry</w:t>
            </w:r>
          </w:p>
        </w:tc>
        <w:tc>
          <w:tcPr>
            <w:tcW w:w="992" w:type="dxa"/>
            <w:tcBorders>
              <w:top w:val="single" w:sz="4" w:space="0" w:color="auto"/>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Pr="005E22B2">
              <w:rPr>
                <w:rFonts w:ascii="Times New Roman" w:eastAsia="Times New Roman" w:hAnsi="Times New Roman" w:cs="Times New Roman"/>
                <w:color w:val="000000"/>
                <w:sz w:val="20"/>
                <w:szCs w:val="20"/>
              </w:rPr>
              <w:t>ransport</w:t>
            </w:r>
          </w:p>
        </w:tc>
        <w:tc>
          <w:tcPr>
            <w:tcW w:w="993" w:type="dxa"/>
            <w:tcBorders>
              <w:top w:val="single" w:sz="4" w:space="0" w:color="auto"/>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Electricity</w:t>
            </w:r>
            <w:proofErr w:type="spellEnd"/>
            <w:r>
              <w:rPr>
                <w:rFonts w:ascii="Times New Roman" w:eastAsia="Times New Roman" w:hAnsi="Times New Roman" w:cs="Times New Roman"/>
                <w:color w:val="000000"/>
                <w:sz w:val="20"/>
                <w:szCs w:val="20"/>
              </w:rPr>
              <w:t xml:space="preserve"> </w:t>
            </w:r>
            <w:r w:rsidRPr="005E22B2">
              <w:rPr>
                <w:rFonts w:ascii="Times New Roman" w:eastAsia="Times New Roman" w:hAnsi="Times New Roman" w:cs="Times New Roman"/>
                <w:color w:val="000000"/>
                <w:sz w:val="20"/>
                <w:szCs w:val="20"/>
              </w:rPr>
              <w:t>producers</w:t>
            </w:r>
          </w:p>
        </w:tc>
        <w:tc>
          <w:tcPr>
            <w:tcW w:w="992" w:type="dxa"/>
            <w:tcBorders>
              <w:top w:val="single" w:sz="4" w:space="0" w:color="auto"/>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5E22B2">
              <w:rPr>
                <w:rFonts w:ascii="Times New Roman" w:eastAsia="Times New Roman" w:hAnsi="Times New Roman" w:cs="Times New Roman"/>
                <w:color w:val="000000"/>
                <w:sz w:val="20"/>
                <w:szCs w:val="20"/>
              </w:rPr>
              <w:t>ervices</w:t>
            </w:r>
          </w:p>
        </w:tc>
      </w:tr>
      <w:tr w:rsidR="00773556" w:rsidRPr="00AD6CEA" w:rsidTr="00A8093A">
        <w:trPr>
          <w:trHeight w:val="300"/>
        </w:trPr>
        <w:tc>
          <w:tcPr>
            <w:tcW w:w="1149" w:type="dxa"/>
            <w:tcBorders>
              <w:top w:val="single" w:sz="4" w:space="0" w:color="auto"/>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E</w:t>
            </w:r>
            <w:r w:rsidRPr="005E22B2">
              <w:rPr>
                <w:rFonts w:ascii="Times New Roman" w:eastAsia="Times New Roman" w:hAnsi="Times New Roman" w:cs="Times New Roman"/>
                <w:color w:val="000000"/>
                <w:sz w:val="20"/>
                <w:szCs w:val="20"/>
              </w:rPr>
              <w:t>lectricity</w:t>
            </w:r>
            <w:proofErr w:type="spellEnd"/>
          </w:p>
        </w:tc>
        <w:tc>
          <w:tcPr>
            <w:tcW w:w="934" w:type="dxa"/>
            <w:tcBorders>
              <w:top w:val="single" w:sz="4" w:space="0" w:color="auto"/>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eastAsia="Times New Roman" w:hAnsi="Times New Roman" w:cs="Times New Roman"/>
                <w:i/>
                <w:color w:val="000000"/>
                <w:sz w:val="20"/>
                <w:szCs w:val="20"/>
              </w:rPr>
              <w:t>€</w:t>
            </w:r>
            <w:r w:rsidRPr="00EF48F2">
              <w:rPr>
                <w:rFonts w:ascii="Times New Roman" w:eastAsia="Times New Roman" w:hAnsi="Times New Roman" w:cs="Times New Roman"/>
                <w:i/>
                <w:color w:val="000000"/>
                <w:sz w:val="20"/>
                <w:szCs w:val="20"/>
                <w:vertAlign w:val="subscript"/>
              </w:rPr>
              <w:t>2009</w:t>
            </w:r>
            <w:r w:rsidRPr="00EF48F2">
              <w:rPr>
                <w:rFonts w:ascii="Times New Roman" w:eastAsia="Times New Roman" w:hAnsi="Times New Roman" w:cs="Times New Roman"/>
                <w:i/>
                <w:color w:val="000000"/>
                <w:sz w:val="20"/>
                <w:szCs w:val="20"/>
              </w:rPr>
              <w:t>/</w:t>
            </w:r>
            <w:proofErr w:type="spellStart"/>
            <w:r w:rsidRPr="00EF48F2">
              <w:rPr>
                <w:rFonts w:ascii="Times New Roman" w:eastAsia="Times New Roman" w:hAnsi="Times New Roman" w:cs="Times New Roman"/>
                <w:i/>
                <w:color w:val="000000"/>
                <w:sz w:val="20"/>
                <w:szCs w:val="20"/>
              </w:rPr>
              <w:t>TWh</w:t>
            </w:r>
            <w:proofErr w:type="spellEnd"/>
          </w:p>
        </w:tc>
        <w:tc>
          <w:tcPr>
            <w:tcW w:w="1085" w:type="dxa"/>
            <w:tcBorders>
              <w:top w:val="single" w:sz="4" w:space="0" w:color="auto"/>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27.57</w:t>
            </w:r>
          </w:p>
        </w:tc>
        <w:tc>
          <w:tcPr>
            <w:tcW w:w="958" w:type="dxa"/>
            <w:tcBorders>
              <w:top w:val="single" w:sz="4" w:space="0" w:color="auto"/>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28.08</w:t>
            </w:r>
          </w:p>
        </w:tc>
        <w:tc>
          <w:tcPr>
            <w:tcW w:w="992" w:type="dxa"/>
            <w:tcBorders>
              <w:top w:val="single" w:sz="4" w:space="0" w:color="auto"/>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28.08</w:t>
            </w:r>
          </w:p>
        </w:tc>
        <w:tc>
          <w:tcPr>
            <w:tcW w:w="993" w:type="dxa"/>
            <w:tcBorders>
              <w:top w:val="single" w:sz="4" w:space="0" w:color="auto"/>
              <w:left w:val="nil"/>
              <w:bottom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92" w:type="dxa"/>
            <w:tcBorders>
              <w:top w:val="single" w:sz="4" w:space="0" w:color="auto"/>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46.35</w:t>
            </w:r>
          </w:p>
        </w:tc>
      </w:tr>
      <w:tr w:rsidR="00773556" w:rsidRPr="00AD6CEA" w:rsidTr="00A8093A">
        <w:trPr>
          <w:trHeight w:val="300"/>
        </w:trPr>
        <w:tc>
          <w:tcPr>
            <w:tcW w:w="1149"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r w:rsidRPr="005E22B2">
              <w:rPr>
                <w:rFonts w:ascii="Times New Roman" w:eastAsia="Times New Roman" w:hAnsi="Times New Roman" w:cs="Times New Roman"/>
                <w:color w:val="000000"/>
                <w:sz w:val="20"/>
                <w:szCs w:val="20"/>
              </w:rPr>
              <w:t>as</w:t>
            </w:r>
          </w:p>
        </w:tc>
        <w:tc>
          <w:tcPr>
            <w:tcW w:w="934" w:type="dxa"/>
            <w:tcBorders>
              <w:top w:val="nil"/>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64.15</w:t>
            </w:r>
          </w:p>
        </w:tc>
        <w:tc>
          <w:tcPr>
            <w:tcW w:w="958"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60.27</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93"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60.27</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60.27</w:t>
            </w:r>
          </w:p>
        </w:tc>
      </w:tr>
      <w:tr w:rsidR="00773556" w:rsidRPr="00AD6CEA" w:rsidTr="00A8093A">
        <w:trPr>
          <w:trHeight w:val="300"/>
        </w:trPr>
        <w:tc>
          <w:tcPr>
            <w:tcW w:w="1149"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r w:rsidRPr="005E22B2">
              <w:rPr>
                <w:rFonts w:ascii="Times New Roman" w:eastAsia="Times New Roman" w:hAnsi="Times New Roman" w:cs="Times New Roman"/>
                <w:color w:val="000000"/>
                <w:sz w:val="20"/>
                <w:szCs w:val="20"/>
              </w:rPr>
              <w:t>Steam</w:t>
            </w:r>
            <w:r>
              <w:rPr>
                <w:rFonts w:ascii="Times New Roman" w:eastAsia="Times New Roman" w:hAnsi="Times New Roman" w:cs="Times New Roman"/>
                <w:color w:val="000000"/>
                <w:sz w:val="20"/>
                <w:szCs w:val="20"/>
              </w:rPr>
              <w:t xml:space="preserve"> </w:t>
            </w:r>
            <w:proofErr w:type="spellStart"/>
            <w:r w:rsidRPr="005E22B2">
              <w:rPr>
                <w:rFonts w:ascii="Times New Roman" w:eastAsia="Times New Roman" w:hAnsi="Times New Roman" w:cs="Times New Roman"/>
                <w:color w:val="000000"/>
                <w:sz w:val="20"/>
                <w:szCs w:val="20"/>
              </w:rPr>
              <w:t>coal</w:t>
            </w:r>
            <w:proofErr w:type="spellEnd"/>
          </w:p>
        </w:tc>
        <w:tc>
          <w:tcPr>
            <w:tcW w:w="934" w:type="dxa"/>
            <w:tcBorders>
              <w:top w:val="nil"/>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235.62</w:t>
            </w:r>
          </w:p>
        </w:tc>
        <w:tc>
          <w:tcPr>
            <w:tcW w:w="958"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55.61</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93"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55.61</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235.62</w:t>
            </w:r>
          </w:p>
        </w:tc>
      </w:tr>
      <w:tr w:rsidR="00773556" w:rsidRPr="00AD6CEA" w:rsidTr="00A8093A">
        <w:trPr>
          <w:trHeight w:val="300"/>
        </w:trPr>
        <w:tc>
          <w:tcPr>
            <w:tcW w:w="1149"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proofErr w:type="spellStart"/>
            <w:r w:rsidRPr="005E22B2">
              <w:rPr>
                <w:rFonts w:ascii="Times New Roman" w:eastAsia="Times New Roman" w:hAnsi="Times New Roman" w:cs="Times New Roman"/>
                <w:color w:val="000000"/>
                <w:sz w:val="20"/>
                <w:szCs w:val="20"/>
              </w:rPr>
              <w:t>Coking</w:t>
            </w:r>
            <w:proofErr w:type="spellEnd"/>
            <w:r>
              <w:rPr>
                <w:rFonts w:ascii="Times New Roman" w:eastAsia="Times New Roman" w:hAnsi="Times New Roman" w:cs="Times New Roman"/>
                <w:color w:val="000000"/>
                <w:sz w:val="20"/>
                <w:szCs w:val="20"/>
              </w:rPr>
              <w:t xml:space="preserve"> </w:t>
            </w:r>
            <w:proofErr w:type="spellStart"/>
            <w:r w:rsidRPr="005E22B2">
              <w:rPr>
                <w:rFonts w:ascii="Times New Roman" w:eastAsia="Times New Roman" w:hAnsi="Times New Roman" w:cs="Times New Roman"/>
                <w:color w:val="000000"/>
                <w:sz w:val="20"/>
                <w:szCs w:val="20"/>
              </w:rPr>
              <w:t>coal</w:t>
            </w:r>
            <w:proofErr w:type="spellEnd"/>
          </w:p>
        </w:tc>
        <w:tc>
          <w:tcPr>
            <w:tcW w:w="934" w:type="dxa"/>
            <w:tcBorders>
              <w:top w:val="nil"/>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58"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115.78</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93"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115.78</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r>
      <w:tr w:rsidR="00773556" w:rsidRPr="00AD6CEA" w:rsidTr="00A8093A">
        <w:trPr>
          <w:trHeight w:val="300"/>
        </w:trPr>
        <w:tc>
          <w:tcPr>
            <w:tcW w:w="1149"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w:t>
            </w:r>
            <w:r w:rsidRPr="005E22B2">
              <w:rPr>
                <w:rFonts w:ascii="Times New Roman" w:eastAsia="Times New Roman" w:hAnsi="Times New Roman" w:cs="Times New Roman"/>
                <w:color w:val="000000"/>
                <w:sz w:val="20"/>
                <w:szCs w:val="20"/>
              </w:rPr>
              <w:t>ignite</w:t>
            </w:r>
            <w:proofErr w:type="spellEnd"/>
          </w:p>
        </w:tc>
        <w:tc>
          <w:tcPr>
            <w:tcW w:w="934" w:type="dxa"/>
            <w:tcBorders>
              <w:top w:val="nil"/>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215.04</w:t>
            </w:r>
          </w:p>
        </w:tc>
        <w:tc>
          <w:tcPr>
            <w:tcW w:w="958"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38.17</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93"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38.17</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215.04</w:t>
            </w:r>
          </w:p>
        </w:tc>
      </w:tr>
      <w:tr w:rsidR="00773556" w:rsidRPr="00AD6CEA" w:rsidTr="00A8093A">
        <w:trPr>
          <w:trHeight w:val="300"/>
        </w:trPr>
        <w:tc>
          <w:tcPr>
            <w:tcW w:w="1149" w:type="dxa"/>
            <w:tcBorders>
              <w:top w:val="nil"/>
              <w:left w:val="nil"/>
              <w:bottom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Pr="005E22B2">
              <w:rPr>
                <w:rFonts w:ascii="Times New Roman" w:eastAsia="Times New Roman" w:hAnsi="Times New Roman" w:cs="Times New Roman"/>
                <w:color w:val="000000"/>
                <w:sz w:val="20"/>
                <w:szCs w:val="20"/>
              </w:rPr>
              <w:t>il</w:t>
            </w:r>
          </w:p>
        </w:tc>
        <w:tc>
          <w:tcPr>
            <w:tcW w:w="934" w:type="dxa"/>
            <w:tcBorders>
              <w:top w:val="nil"/>
              <w:left w:val="nil"/>
              <w:bottom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447.15</w:t>
            </w:r>
          </w:p>
        </w:tc>
        <w:tc>
          <w:tcPr>
            <w:tcW w:w="958"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215.52</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470.08</w:t>
            </w:r>
          </w:p>
        </w:tc>
        <w:tc>
          <w:tcPr>
            <w:tcW w:w="993"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215.52</w:t>
            </w:r>
          </w:p>
        </w:tc>
        <w:tc>
          <w:tcPr>
            <w:tcW w:w="992" w:type="dxa"/>
            <w:tcBorders>
              <w:top w:val="nil"/>
              <w:left w:val="nil"/>
              <w:bottom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447.15</w:t>
            </w:r>
          </w:p>
        </w:tc>
      </w:tr>
      <w:tr w:rsidR="00773556" w:rsidRPr="00AD6CEA" w:rsidTr="00A8093A">
        <w:trPr>
          <w:trHeight w:val="300"/>
        </w:trPr>
        <w:tc>
          <w:tcPr>
            <w:tcW w:w="1149" w:type="dxa"/>
            <w:tcBorders>
              <w:top w:val="nil"/>
              <w:left w:val="nil"/>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w:t>
            </w:r>
            <w:r w:rsidRPr="005E22B2">
              <w:rPr>
                <w:rFonts w:ascii="Times New Roman" w:eastAsia="Times New Roman" w:hAnsi="Times New Roman" w:cs="Times New Roman"/>
                <w:color w:val="000000"/>
                <w:sz w:val="20"/>
                <w:szCs w:val="20"/>
              </w:rPr>
              <w:t>iofuel</w:t>
            </w:r>
            <w:proofErr w:type="spellEnd"/>
          </w:p>
        </w:tc>
        <w:tc>
          <w:tcPr>
            <w:tcW w:w="934" w:type="dxa"/>
            <w:tcBorders>
              <w:top w:val="nil"/>
              <w:left w:val="nil"/>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58" w:type="dxa"/>
            <w:tcBorders>
              <w:top w:val="nil"/>
              <w:left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92" w:type="dxa"/>
            <w:tcBorders>
              <w:top w:val="nil"/>
              <w:left w:val="nil"/>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1288.93</w:t>
            </w:r>
          </w:p>
        </w:tc>
        <w:tc>
          <w:tcPr>
            <w:tcW w:w="993" w:type="dxa"/>
            <w:tcBorders>
              <w:top w:val="nil"/>
              <w:left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92" w:type="dxa"/>
            <w:tcBorders>
              <w:top w:val="nil"/>
              <w:left w:val="nil"/>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r>
      <w:tr w:rsidR="00773556" w:rsidRPr="00AD6CEA" w:rsidTr="00A8093A">
        <w:trPr>
          <w:trHeight w:val="300"/>
        </w:trPr>
        <w:tc>
          <w:tcPr>
            <w:tcW w:w="1149" w:type="dxa"/>
            <w:tcBorders>
              <w:top w:val="nil"/>
              <w:left w:val="nil"/>
              <w:bottom w:val="single" w:sz="4" w:space="0" w:color="auto"/>
              <w:right w:val="nil"/>
            </w:tcBorders>
            <w:shd w:val="clear" w:color="auto" w:fill="auto"/>
            <w:noWrap/>
            <w:vAlign w:val="bottom"/>
            <w:hideMark/>
          </w:tcPr>
          <w:p w:rsidR="00773556" w:rsidRPr="005E22B2" w:rsidRDefault="00773556" w:rsidP="00A8093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w:t>
            </w:r>
            <w:r w:rsidRPr="005E22B2">
              <w:rPr>
                <w:rFonts w:ascii="Times New Roman" w:eastAsia="Times New Roman" w:hAnsi="Times New Roman" w:cs="Times New Roman"/>
                <w:color w:val="000000"/>
                <w:sz w:val="20"/>
                <w:szCs w:val="20"/>
              </w:rPr>
              <w:t>iomass</w:t>
            </w:r>
            <w:proofErr w:type="spellEnd"/>
          </w:p>
        </w:tc>
        <w:tc>
          <w:tcPr>
            <w:tcW w:w="934" w:type="dxa"/>
            <w:tcBorders>
              <w:top w:val="nil"/>
              <w:left w:val="nil"/>
              <w:bottom w:val="single" w:sz="4" w:space="0" w:color="auto"/>
              <w:right w:val="nil"/>
            </w:tcBorders>
            <w:vAlign w:val="bottom"/>
          </w:tcPr>
          <w:p w:rsidR="00773556" w:rsidRPr="00EF48F2" w:rsidRDefault="00773556" w:rsidP="00A8093A">
            <w:pPr>
              <w:spacing w:after="0" w:line="240" w:lineRule="auto"/>
              <w:rPr>
                <w:rFonts w:ascii="Times New Roman" w:eastAsia="Times New Roman" w:hAnsi="Times New Roman" w:cs="Times New Roman"/>
                <w:i/>
                <w:color w:val="000000"/>
                <w:sz w:val="20"/>
                <w:szCs w:val="20"/>
              </w:rPr>
            </w:pPr>
            <w:r w:rsidRPr="00EF48F2">
              <w:rPr>
                <w:rFonts w:ascii="Times New Roman" w:hAnsi="Times New Roman" w:cs="Times New Roman"/>
                <w:i/>
                <w:sz w:val="20"/>
                <w:szCs w:val="20"/>
                <w:lang w:val="en-US"/>
              </w:rPr>
              <w:t>€</w:t>
            </w:r>
            <w:r w:rsidRPr="00EF48F2">
              <w:rPr>
                <w:rFonts w:ascii="Times New Roman" w:hAnsi="Times New Roman" w:cs="Times New Roman"/>
                <w:i/>
                <w:sz w:val="20"/>
                <w:szCs w:val="20"/>
                <w:vertAlign w:val="subscript"/>
                <w:lang w:val="en-US"/>
              </w:rPr>
              <w:t>2009</w:t>
            </w:r>
            <w:r w:rsidRPr="00EF48F2">
              <w:rPr>
                <w:rFonts w:ascii="Times New Roman" w:hAnsi="Times New Roman" w:cs="Times New Roman"/>
                <w:i/>
                <w:sz w:val="20"/>
                <w:szCs w:val="20"/>
                <w:lang w:val="en-US"/>
              </w:rPr>
              <w:t>/toe</w:t>
            </w:r>
          </w:p>
        </w:tc>
        <w:tc>
          <w:tcPr>
            <w:tcW w:w="1085" w:type="dxa"/>
            <w:tcBorders>
              <w:top w:val="nil"/>
              <w:left w:val="nil"/>
              <w:bottom w:val="single" w:sz="4" w:space="0" w:color="auto"/>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718.46</w:t>
            </w:r>
          </w:p>
        </w:tc>
        <w:tc>
          <w:tcPr>
            <w:tcW w:w="958" w:type="dxa"/>
            <w:tcBorders>
              <w:top w:val="nil"/>
              <w:left w:val="nil"/>
              <w:bottom w:val="single" w:sz="4" w:space="0" w:color="auto"/>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172.43</w:t>
            </w:r>
          </w:p>
        </w:tc>
        <w:tc>
          <w:tcPr>
            <w:tcW w:w="992" w:type="dxa"/>
            <w:tcBorders>
              <w:top w:val="nil"/>
              <w:left w:val="nil"/>
              <w:bottom w:val="single" w:sz="4" w:space="0" w:color="auto"/>
              <w:right w:val="nil"/>
            </w:tcBorders>
            <w:shd w:val="clear" w:color="auto" w:fill="auto"/>
            <w:noWrap/>
            <w:vAlign w:val="bottom"/>
            <w:hideMark/>
          </w:tcPr>
          <w:p w:rsidR="00773556" w:rsidRPr="00AD6CEA" w:rsidRDefault="00773556" w:rsidP="00A8093A">
            <w:pPr>
              <w:spacing w:after="0" w:line="240" w:lineRule="auto"/>
              <w:jc w:val="center"/>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w:t>
            </w:r>
          </w:p>
        </w:tc>
        <w:tc>
          <w:tcPr>
            <w:tcW w:w="993" w:type="dxa"/>
            <w:tcBorders>
              <w:top w:val="nil"/>
              <w:left w:val="nil"/>
              <w:bottom w:val="single" w:sz="4" w:space="0" w:color="auto"/>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172.43</w:t>
            </w:r>
          </w:p>
        </w:tc>
        <w:tc>
          <w:tcPr>
            <w:tcW w:w="992" w:type="dxa"/>
            <w:tcBorders>
              <w:top w:val="nil"/>
              <w:left w:val="nil"/>
              <w:bottom w:val="single" w:sz="4" w:space="0" w:color="auto"/>
              <w:right w:val="nil"/>
            </w:tcBorders>
            <w:shd w:val="clear" w:color="auto" w:fill="auto"/>
            <w:noWrap/>
            <w:vAlign w:val="bottom"/>
            <w:hideMark/>
          </w:tcPr>
          <w:p w:rsidR="00773556" w:rsidRPr="00AD6CEA" w:rsidRDefault="00773556" w:rsidP="00A8093A">
            <w:pPr>
              <w:spacing w:after="0" w:line="240" w:lineRule="auto"/>
              <w:jc w:val="right"/>
              <w:rPr>
                <w:rFonts w:ascii="Times New Roman" w:eastAsia="Times New Roman" w:hAnsi="Times New Roman" w:cs="Times New Roman"/>
                <w:color w:val="000000"/>
                <w:sz w:val="20"/>
                <w:szCs w:val="20"/>
              </w:rPr>
            </w:pPr>
            <w:r w:rsidRPr="00AD6CEA">
              <w:rPr>
                <w:rFonts w:ascii="Times New Roman" w:eastAsia="Times New Roman" w:hAnsi="Times New Roman" w:cs="Times New Roman"/>
                <w:color w:val="000000"/>
                <w:sz w:val="20"/>
                <w:szCs w:val="20"/>
              </w:rPr>
              <w:t>718.46</w:t>
            </w:r>
          </w:p>
        </w:tc>
      </w:tr>
    </w:tbl>
    <w:p w:rsidR="00773556" w:rsidRDefault="00773556" w:rsidP="00773556">
      <w:pPr>
        <w:rPr>
          <w:rFonts w:ascii="Times New Roman" w:hAnsi="Times New Roman" w:cs="Times New Roman"/>
          <w:sz w:val="20"/>
          <w:szCs w:val="20"/>
          <w:lang w:val="en-US"/>
        </w:rPr>
      </w:pPr>
    </w:p>
    <w:p w:rsidR="00773556" w:rsidRPr="00085FA6" w:rsidRDefault="00773556" w:rsidP="00773556">
      <w:pPr>
        <w:jc w:val="both"/>
        <w:rPr>
          <w:rFonts w:ascii="Times New Roman" w:hAnsi="Times New Roman" w:cs="Times New Roman"/>
          <w:lang w:val="en-US"/>
        </w:rPr>
      </w:pPr>
    </w:p>
    <w:p w:rsidR="00773556" w:rsidRDefault="00773556" w:rsidP="00773556">
      <w:pPr>
        <w:pStyle w:val="Heading3"/>
        <w:jc w:val="both"/>
        <w:rPr>
          <w:lang w:val="en-GB"/>
        </w:rPr>
      </w:pPr>
      <w:bookmarkStart w:id="4" w:name="_Toc386631746"/>
      <w:r>
        <w:rPr>
          <w:lang w:val="en-GB"/>
        </w:rPr>
        <w:t>3.7.4 Elasticities</w:t>
      </w:r>
      <w:bookmarkEnd w:id="4"/>
    </w:p>
    <w:p w:rsidR="00773556" w:rsidRDefault="00773556" w:rsidP="00773556">
      <w:pPr>
        <w:jc w:val="both"/>
        <w:rPr>
          <w:rFonts w:ascii="Times New Roman" w:hAnsi="Times New Roman" w:cs="Times New Roman"/>
          <w:lang w:val="en-GB"/>
        </w:rPr>
      </w:pPr>
      <w:r w:rsidRPr="00BA5BCF">
        <w:rPr>
          <w:rFonts w:ascii="Times New Roman" w:hAnsi="Times New Roman" w:cs="Times New Roman"/>
          <w:lang w:val="en-GB"/>
        </w:rPr>
        <w:t>When Russia is an exogenous country in the model the demand elasticities are set to half of the European average for coal and natural gas and 2/3 of the European average for oil</w:t>
      </w:r>
      <w:r>
        <w:rPr>
          <w:rFonts w:ascii="Times New Roman" w:hAnsi="Times New Roman" w:cs="Times New Roman"/>
          <w:lang w:val="en-GB"/>
        </w:rPr>
        <w:t xml:space="preserve"> (see chapter 3.1.8)</w:t>
      </w:r>
      <w:r w:rsidRPr="00BA5BCF">
        <w:rPr>
          <w:rFonts w:ascii="Times New Roman" w:hAnsi="Times New Roman" w:cs="Times New Roman"/>
          <w:lang w:val="en-GB"/>
        </w:rPr>
        <w:t xml:space="preserve">. </w:t>
      </w:r>
      <w:r>
        <w:rPr>
          <w:rFonts w:ascii="Times New Roman" w:hAnsi="Times New Roman" w:cs="Times New Roman"/>
          <w:lang w:val="en-GB"/>
        </w:rPr>
        <w:t xml:space="preserve">It is assumed </w:t>
      </w:r>
      <w:r w:rsidRPr="00085FA6">
        <w:rPr>
          <w:rFonts w:ascii="Times New Roman" w:hAnsi="Times New Roman" w:cs="Times New Roman"/>
          <w:lang w:val="en-GB"/>
        </w:rPr>
        <w:t xml:space="preserve">that the ratio between the short-term and the long-term elasticities is the same as for the European countries. </w:t>
      </w:r>
      <w:r>
        <w:rPr>
          <w:rFonts w:ascii="Times New Roman" w:hAnsi="Times New Roman" w:cs="Times New Roman"/>
          <w:lang w:val="en-GB"/>
        </w:rPr>
        <w:t xml:space="preserve">Between the sectors we use the same ration as for the country with the lowest elasticities in Europe. </w:t>
      </w:r>
      <w:r w:rsidRPr="00BA5BCF">
        <w:rPr>
          <w:rFonts w:ascii="Times New Roman" w:hAnsi="Times New Roman" w:cs="Times New Roman"/>
          <w:lang w:val="en-GB"/>
        </w:rPr>
        <w:t>When Russia is endogenous RU1, RU2 and RU3</w:t>
      </w:r>
      <w:r>
        <w:rPr>
          <w:rFonts w:ascii="Times New Roman" w:hAnsi="Times New Roman" w:cs="Times New Roman"/>
          <w:lang w:val="en-GB"/>
        </w:rPr>
        <w:t xml:space="preserve"> all have the same elasticities. </w:t>
      </w:r>
    </w:p>
    <w:p w:rsidR="00773556" w:rsidRDefault="00773556" w:rsidP="00773556">
      <w:pPr>
        <w:jc w:val="both"/>
        <w:rPr>
          <w:rFonts w:ascii="Times New Roman" w:hAnsi="Times New Roman" w:cs="Times New Roman"/>
          <w:lang w:val="en-GB"/>
        </w:rPr>
      </w:pPr>
      <w:r w:rsidRPr="00085FA6">
        <w:rPr>
          <w:rFonts w:ascii="Times New Roman" w:eastAsia="SimSun" w:hAnsi="Times New Roman" w:cs="Times New Roman"/>
          <w:bCs/>
          <w:lang w:val="en-GB"/>
        </w:rPr>
        <w:t xml:space="preserve">For natural gas </w:t>
      </w:r>
      <w:r>
        <w:rPr>
          <w:rFonts w:ascii="Times New Roman" w:eastAsia="SimSun" w:hAnsi="Times New Roman" w:cs="Times New Roman"/>
          <w:bCs/>
          <w:lang w:val="en-GB"/>
        </w:rPr>
        <w:t>the</w:t>
      </w:r>
      <w:r w:rsidRPr="00085FA6">
        <w:rPr>
          <w:rFonts w:ascii="Times New Roman" w:eastAsia="SimSun" w:hAnsi="Times New Roman" w:cs="Times New Roman"/>
          <w:bCs/>
          <w:lang w:val="en-GB"/>
        </w:rPr>
        <w:t xml:space="preserve"> long-run elasticity </w:t>
      </w:r>
      <w:r>
        <w:rPr>
          <w:rFonts w:ascii="Times New Roman" w:eastAsia="SimSun" w:hAnsi="Times New Roman" w:cs="Times New Roman"/>
          <w:bCs/>
          <w:lang w:val="en-GB"/>
        </w:rPr>
        <w:t>is set to</w:t>
      </w:r>
      <w:r w:rsidRPr="00085FA6">
        <w:rPr>
          <w:rFonts w:ascii="Times New Roman" w:eastAsia="SimSun" w:hAnsi="Times New Roman" w:cs="Times New Roman"/>
          <w:bCs/>
          <w:lang w:val="en-GB"/>
        </w:rPr>
        <w:t xml:space="preserve"> -0.</w:t>
      </w:r>
      <w:r>
        <w:rPr>
          <w:rFonts w:ascii="Times New Roman" w:eastAsia="SimSun" w:hAnsi="Times New Roman" w:cs="Times New Roman"/>
          <w:bCs/>
          <w:lang w:val="en-GB"/>
        </w:rPr>
        <w:t>31</w:t>
      </w:r>
      <w:r w:rsidRPr="00085FA6">
        <w:rPr>
          <w:rFonts w:ascii="Times New Roman" w:eastAsia="SimSun" w:hAnsi="Times New Roman" w:cs="Times New Roman"/>
          <w:bCs/>
          <w:lang w:val="en-GB"/>
        </w:rPr>
        <w:t xml:space="preserve"> for households</w:t>
      </w:r>
      <w:r>
        <w:rPr>
          <w:rFonts w:ascii="Times New Roman" w:eastAsia="SimSun" w:hAnsi="Times New Roman" w:cs="Times New Roman"/>
          <w:bCs/>
          <w:lang w:val="en-GB"/>
        </w:rPr>
        <w:t xml:space="preserve">. This reflects the inelastic demand in Russia today as a result of energy subsidies, non-payment issues and lack of gas metering among household customers </w:t>
      </w:r>
      <w:r w:rsidRPr="003A6102">
        <w:rPr>
          <w:rFonts w:ascii="Times New Roman" w:eastAsia="SimSun" w:hAnsi="Times New Roman" w:cs="Times New Roman"/>
          <w:bCs/>
          <w:lang w:val="en-GB"/>
        </w:rPr>
        <w:t>(</w:t>
      </w:r>
      <w:r>
        <w:rPr>
          <w:rFonts w:ascii="Times New Roman" w:eastAsia="SimSun" w:hAnsi="Times New Roman" w:cs="Times New Roman"/>
          <w:bCs/>
          <w:lang w:val="en-GB"/>
        </w:rPr>
        <w:t xml:space="preserve">OECD 2004, </w:t>
      </w:r>
      <w:proofErr w:type="spellStart"/>
      <w:r w:rsidRPr="003A6102">
        <w:rPr>
          <w:rFonts w:ascii="Times New Roman" w:eastAsia="SimSun" w:hAnsi="Times New Roman" w:cs="Times New Roman"/>
          <w:bCs/>
          <w:lang w:val="en-GB"/>
        </w:rPr>
        <w:t>Pirani</w:t>
      </w:r>
      <w:proofErr w:type="spellEnd"/>
      <w:r w:rsidRPr="003A6102">
        <w:rPr>
          <w:rFonts w:ascii="Times New Roman" w:eastAsia="SimSun" w:hAnsi="Times New Roman" w:cs="Times New Roman"/>
          <w:bCs/>
          <w:lang w:val="en-GB"/>
        </w:rPr>
        <w:t xml:space="preserve"> 2011)</w:t>
      </w:r>
      <w:r>
        <w:rPr>
          <w:rFonts w:ascii="Times New Roman" w:eastAsia="SimSun" w:hAnsi="Times New Roman" w:cs="Times New Roman"/>
          <w:bCs/>
          <w:lang w:val="en-GB"/>
        </w:rPr>
        <w:t xml:space="preserve">. </w:t>
      </w:r>
      <w:r w:rsidRPr="00085FA6">
        <w:rPr>
          <w:rFonts w:ascii="Times New Roman" w:eastAsia="SimSun" w:hAnsi="Times New Roman" w:cs="Times New Roman"/>
          <w:bCs/>
          <w:lang w:val="en-GB"/>
        </w:rPr>
        <w:t xml:space="preserve">The elasticity is gradually increased over time, which reflects that it is expected that the price household </w:t>
      </w:r>
      <w:proofErr w:type="gramStart"/>
      <w:r w:rsidRPr="00085FA6">
        <w:rPr>
          <w:rFonts w:ascii="Times New Roman" w:eastAsia="SimSun" w:hAnsi="Times New Roman" w:cs="Times New Roman"/>
          <w:bCs/>
          <w:lang w:val="en-GB"/>
        </w:rPr>
        <w:t>consumers</w:t>
      </w:r>
      <w:proofErr w:type="gramEnd"/>
      <w:r w:rsidRPr="00085FA6">
        <w:rPr>
          <w:rFonts w:ascii="Times New Roman" w:eastAsia="SimSun" w:hAnsi="Times New Roman" w:cs="Times New Roman"/>
          <w:bCs/>
          <w:lang w:val="en-GB"/>
        </w:rPr>
        <w:t xml:space="preserve"> face will increase substantially over time as a result of less subsidies. Assuming that the Russian problems with non-payment and lack of gas metering</w:t>
      </w:r>
      <w:r>
        <w:rPr>
          <w:rFonts w:ascii="Times New Roman" w:eastAsia="SimSun" w:hAnsi="Times New Roman" w:cs="Times New Roman"/>
          <w:bCs/>
          <w:lang w:val="en-GB"/>
        </w:rPr>
        <w:t xml:space="preserve"> </w:t>
      </w:r>
      <w:r w:rsidRPr="00085FA6">
        <w:rPr>
          <w:rFonts w:ascii="Times New Roman" w:eastAsia="SimSun" w:hAnsi="Times New Roman" w:cs="Times New Roman"/>
          <w:bCs/>
          <w:lang w:val="en-GB"/>
        </w:rPr>
        <w:t xml:space="preserve">are addressed in </w:t>
      </w:r>
      <w:r>
        <w:rPr>
          <w:rFonts w:ascii="Times New Roman" w:eastAsia="SimSun" w:hAnsi="Times New Roman" w:cs="Times New Roman"/>
          <w:bCs/>
          <w:lang w:val="en-GB"/>
        </w:rPr>
        <w:t xml:space="preserve">the </w:t>
      </w:r>
      <w:r w:rsidRPr="00085FA6">
        <w:rPr>
          <w:rFonts w:ascii="Times New Roman" w:eastAsia="SimSun" w:hAnsi="Times New Roman" w:cs="Times New Roman"/>
          <w:bCs/>
          <w:lang w:val="en-GB"/>
        </w:rPr>
        <w:t xml:space="preserve">future, gas demand </w:t>
      </w:r>
      <w:r>
        <w:rPr>
          <w:rFonts w:ascii="Times New Roman" w:eastAsia="SimSun" w:hAnsi="Times New Roman" w:cs="Times New Roman"/>
          <w:bCs/>
          <w:lang w:val="en-GB"/>
        </w:rPr>
        <w:t xml:space="preserve">is expected </w:t>
      </w:r>
      <w:r w:rsidRPr="00085FA6">
        <w:rPr>
          <w:rFonts w:ascii="Times New Roman" w:eastAsia="SimSun" w:hAnsi="Times New Roman" w:cs="Times New Roman"/>
          <w:bCs/>
          <w:lang w:val="en-GB"/>
        </w:rPr>
        <w:t>to become gradually more price responsive.</w:t>
      </w:r>
      <w:r w:rsidRPr="00085FA6" w:rsidDel="009D357E">
        <w:rPr>
          <w:rFonts w:ascii="Times New Roman" w:eastAsia="SimSun" w:hAnsi="Times New Roman" w:cs="Times New Roman"/>
          <w:bCs/>
          <w:lang w:val="en-GB"/>
        </w:rPr>
        <w:t xml:space="preserve"> </w:t>
      </w:r>
      <w:r>
        <w:rPr>
          <w:rFonts w:ascii="Times New Roman" w:hAnsi="Times New Roman" w:cs="Times New Roman"/>
          <w:lang w:val="en-GB"/>
        </w:rPr>
        <w:t xml:space="preserve">The same cross-price elasticities as for the other model countries (see chapter 3.1.5) are used for the three regions. </w:t>
      </w:r>
    </w:p>
    <w:p w:rsidR="00773556" w:rsidRPr="00085FA6" w:rsidRDefault="00773556" w:rsidP="00773556">
      <w:pPr>
        <w:jc w:val="both"/>
        <w:rPr>
          <w:rFonts w:ascii="Times New Roman" w:eastAsia="SimSun" w:hAnsi="Times New Roman" w:cs="Times New Roman"/>
          <w:lang w:val="en-GB"/>
        </w:rPr>
      </w:pPr>
      <w:r>
        <w:rPr>
          <w:rFonts w:ascii="Times New Roman" w:hAnsi="Times New Roman" w:cs="Times New Roman"/>
          <w:lang w:val="en-GB"/>
        </w:rPr>
        <w:t xml:space="preserve">The income elasticities are the same as when Russia is an exogenous country. These have been </w:t>
      </w:r>
      <w:r w:rsidRPr="00085FA6">
        <w:rPr>
          <w:rFonts w:ascii="Times New Roman" w:eastAsia="SimSun" w:hAnsi="Times New Roman" w:cs="Times New Roman"/>
          <w:lang w:val="en-GB"/>
        </w:rPr>
        <w:t>calibrated using average projected annual GDP growth rates from 2009 to 2035, average projected annual growth rates in energy consumption (for each sector and energy type) along with corresponding projected energy prices, and the price elasticities we use in the model (see above). The income elasticities can then be calibrated as the non-price changes in consumption relative to the changes in GDP.</w:t>
      </w:r>
      <w:r>
        <w:rPr>
          <w:rFonts w:ascii="Times New Roman" w:eastAsia="SimSun" w:hAnsi="Times New Roman" w:cs="Times New Roman"/>
          <w:lang w:val="en-GB"/>
        </w:rPr>
        <w:t xml:space="preserve"> Regional GDP figures have been used (see 3.7.5). </w:t>
      </w:r>
    </w:p>
    <w:p w:rsidR="00773556" w:rsidRPr="00085FA6" w:rsidRDefault="00773556" w:rsidP="00773556">
      <w:pPr>
        <w:rPr>
          <w:rFonts w:ascii="Times New Roman" w:hAnsi="Times New Roman" w:cs="Times New Roman"/>
          <w:lang w:val="en-GB"/>
        </w:rPr>
      </w:pPr>
    </w:p>
    <w:p w:rsidR="00773556" w:rsidRDefault="00773556" w:rsidP="00773556">
      <w:pPr>
        <w:pStyle w:val="Heading3"/>
        <w:jc w:val="both"/>
        <w:rPr>
          <w:lang w:val="en-GB"/>
        </w:rPr>
      </w:pPr>
      <w:bookmarkStart w:id="5" w:name="_Toc386631747"/>
      <w:r>
        <w:rPr>
          <w:lang w:val="en-GB"/>
        </w:rPr>
        <w:t>3.7.5 GDP Growth rates</w:t>
      </w:r>
      <w:bookmarkEnd w:id="5"/>
    </w:p>
    <w:p w:rsidR="00773556" w:rsidRPr="00085FA6" w:rsidRDefault="00773556" w:rsidP="00773556">
      <w:pPr>
        <w:jc w:val="both"/>
        <w:rPr>
          <w:rFonts w:ascii="Times New Roman" w:hAnsi="Times New Roman" w:cs="Times New Roman"/>
          <w:lang w:val="en-GB"/>
        </w:rPr>
      </w:pPr>
      <w:r>
        <w:rPr>
          <w:rFonts w:ascii="Times New Roman" w:hAnsi="Times New Roman" w:cs="Times New Roman"/>
          <w:lang w:val="en-GB"/>
        </w:rPr>
        <w:t xml:space="preserve">When Russia is an exogenous country </w:t>
      </w:r>
      <w:r w:rsidRPr="00085FA6">
        <w:rPr>
          <w:rFonts w:ascii="Times New Roman" w:hAnsi="Times New Roman" w:cs="Times New Roman"/>
          <w:lang w:val="en-GB"/>
        </w:rPr>
        <w:t xml:space="preserve">national </w:t>
      </w:r>
      <w:r>
        <w:rPr>
          <w:rFonts w:ascii="Times New Roman" w:hAnsi="Times New Roman" w:cs="Times New Roman"/>
          <w:lang w:val="en-GB"/>
        </w:rPr>
        <w:t>projections</w:t>
      </w:r>
      <w:r w:rsidRPr="00085FA6">
        <w:rPr>
          <w:rFonts w:ascii="Times New Roman" w:hAnsi="Times New Roman" w:cs="Times New Roman"/>
          <w:lang w:val="en-GB"/>
        </w:rPr>
        <w:t xml:space="preserve"> from </w:t>
      </w:r>
      <w:r>
        <w:rPr>
          <w:rFonts w:ascii="Times New Roman" w:hAnsi="Times New Roman" w:cs="Times New Roman"/>
          <w:lang w:val="en-GB"/>
        </w:rPr>
        <w:t>the World Bank for GDP growth from 2018 to 2030 have been used</w:t>
      </w:r>
      <w:r w:rsidRPr="00085FA6">
        <w:rPr>
          <w:rFonts w:ascii="Times New Roman" w:hAnsi="Times New Roman" w:cs="Times New Roman"/>
          <w:lang w:val="en-GB"/>
        </w:rPr>
        <w:t xml:space="preserve">. Based on these sources the average annual GDP growth in Russia as a whole is 4.3 % between 2009 </w:t>
      </w:r>
      <w:r w:rsidRPr="00085FA6">
        <w:rPr>
          <w:rFonts w:ascii="Times New Roman" w:hAnsi="Times New Roman" w:cs="Times New Roman"/>
          <w:lang w:val="en-GB"/>
        </w:rPr>
        <w:lastRenderedPageBreak/>
        <w:t>and 2035.</w:t>
      </w:r>
      <w:r>
        <w:rPr>
          <w:rFonts w:ascii="Times New Roman" w:hAnsi="Times New Roman" w:cs="Times New Roman"/>
          <w:lang w:val="en-GB"/>
        </w:rPr>
        <w:t xml:space="preserve"> </w:t>
      </w:r>
      <w:r w:rsidRPr="00085FA6">
        <w:rPr>
          <w:rFonts w:ascii="Times New Roman" w:hAnsi="Times New Roman" w:cs="Times New Roman"/>
          <w:lang w:val="en-GB"/>
        </w:rPr>
        <w:t xml:space="preserve">From 2030 to 2050 we have used World Bank projections of population growth, </w:t>
      </w:r>
      <w:r>
        <w:rPr>
          <w:rFonts w:ascii="Times New Roman" w:hAnsi="Times New Roman" w:cs="Times New Roman"/>
          <w:lang w:val="en-GB"/>
        </w:rPr>
        <w:t>and assumed</w:t>
      </w:r>
      <w:r w:rsidRPr="00085FA6">
        <w:rPr>
          <w:rFonts w:ascii="Times New Roman" w:hAnsi="Times New Roman" w:cs="Times New Roman"/>
          <w:lang w:val="en-GB"/>
        </w:rPr>
        <w:t xml:space="preserve"> a gradual reduction in GDP per capita </w:t>
      </w:r>
      <w:r>
        <w:rPr>
          <w:rFonts w:ascii="Times New Roman" w:hAnsi="Times New Roman" w:cs="Times New Roman"/>
          <w:lang w:val="en-GB"/>
        </w:rPr>
        <w:t xml:space="preserve">growth rates </w:t>
      </w:r>
      <w:r w:rsidRPr="00085FA6">
        <w:rPr>
          <w:rFonts w:ascii="Times New Roman" w:hAnsi="Times New Roman" w:cs="Times New Roman"/>
          <w:lang w:val="en-GB"/>
        </w:rPr>
        <w:t>towards 1% p.a</w:t>
      </w:r>
      <w:r>
        <w:rPr>
          <w:rFonts w:ascii="Times New Roman" w:hAnsi="Times New Roman" w:cs="Times New Roman"/>
          <w:lang w:val="en-GB"/>
        </w:rPr>
        <w:t>.</w:t>
      </w:r>
      <w:r w:rsidRPr="00085FA6">
        <w:rPr>
          <w:rFonts w:ascii="Times New Roman" w:hAnsi="Times New Roman" w:cs="Times New Roman"/>
          <w:lang w:val="en-GB"/>
        </w:rPr>
        <w:t xml:space="preserve"> from 2030 to 2050.  This national growth rate is used to calibrate regional growth rates in Russia. </w:t>
      </w:r>
      <w:r>
        <w:rPr>
          <w:rFonts w:ascii="Times New Roman" w:hAnsi="Times New Roman" w:cs="Times New Roman"/>
          <w:lang w:val="en-GB"/>
        </w:rPr>
        <w:t>To create</w:t>
      </w:r>
      <w:r w:rsidRPr="00085FA6">
        <w:rPr>
          <w:rFonts w:ascii="Times New Roman" w:hAnsi="Times New Roman" w:cs="Times New Roman"/>
          <w:lang w:val="en-GB"/>
        </w:rPr>
        <w:t xml:space="preserve"> regional indexes two additional sources</w:t>
      </w:r>
      <w:r>
        <w:rPr>
          <w:rFonts w:ascii="Times New Roman" w:hAnsi="Times New Roman" w:cs="Times New Roman"/>
          <w:lang w:val="en-GB"/>
        </w:rPr>
        <w:t xml:space="preserve"> have been used</w:t>
      </w:r>
      <w:r w:rsidRPr="00085FA6">
        <w:rPr>
          <w:rFonts w:ascii="Times New Roman" w:hAnsi="Times New Roman" w:cs="Times New Roman"/>
          <w:lang w:val="en-GB"/>
        </w:rPr>
        <w:t xml:space="preserve">: historical gross regional product for the Russian regions from </w:t>
      </w:r>
      <w:proofErr w:type="spellStart"/>
      <w:r w:rsidRPr="00085FA6">
        <w:rPr>
          <w:rFonts w:ascii="Times New Roman" w:hAnsi="Times New Roman" w:cs="Times New Roman"/>
          <w:lang w:val="en-GB"/>
        </w:rPr>
        <w:t>Rosstat</w:t>
      </w:r>
      <w:proofErr w:type="spellEnd"/>
      <w:r w:rsidRPr="00085FA6">
        <w:rPr>
          <w:rStyle w:val="FootnoteReference"/>
          <w:rFonts w:ascii="Times New Roman" w:hAnsi="Times New Roman" w:cs="Times New Roman"/>
          <w:lang w:val="en-GB"/>
        </w:rPr>
        <w:footnoteReference w:id="14"/>
      </w:r>
      <w:r w:rsidRPr="00085FA6">
        <w:rPr>
          <w:rFonts w:ascii="Times New Roman" w:hAnsi="Times New Roman" w:cs="Times New Roman"/>
          <w:lang w:val="en-GB"/>
        </w:rPr>
        <w:t xml:space="preserve"> and regional population data from the Russian population census of 2002 and 2010 (along with estimates for 2012) from the “State Committee of the Russian Federation on Statistics”.</w:t>
      </w:r>
      <w:r w:rsidRPr="00085FA6">
        <w:rPr>
          <w:rStyle w:val="FootnoteReference"/>
          <w:rFonts w:ascii="Times New Roman" w:hAnsi="Times New Roman" w:cs="Times New Roman"/>
          <w:lang w:val="en-GB"/>
        </w:rPr>
        <w:footnoteReference w:id="15"/>
      </w:r>
      <w:r w:rsidRPr="00085FA6">
        <w:rPr>
          <w:rFonts w:ascii="Times New Roman" w:hAnsi="Times New Roman" w:cs="Times New Roman"/>
          <w:lang w:val="en-GB"/>
        </w:rPr>
        <w:t xml:space="preserve"> For the three regions we then get the following average GDP growth rates between 2009 and 2035; RU1 4.5 %, RU2 3.4 % and RU3 4.3 %. </w:t>
      </w:r>
    </w:p>
    <w:p w:rsidR="00773556" w:rsidRDefault="00773556" w:rsidP="00773556">
      <w:pPr>
        <w:pStyle w:val="Heading3"/>
        <w:jc w:val="both"/>
        <w:rPr>
          <w:lang w:val="en-GB"/>
        </w:rPr>
      </w:pPr>
      <w:r>
        <w:rPr>
          <w:lang w:val="en-GB"/>
        </w:rPr>
        <w:br/>
      </w:r>
      <w:bookmarkStart w:id="6" w:name="_Toc386631748"/>
      <w:r>
        <w:rPr>
          <w:lang w:val="en-GB"/>
        </w:rPr>
        <w:t>3.7.6 CES demand parameters</w:t>
      </w:r>
      <w:bookmarkEnd w:id="6"/>
    </w:p>
    <w:p w:rsidR="00773556" w:rsidRPr="00085FA6" w:rsidRDefault="00773556" w:rsidP="00773556">
      <w:pPr>
        <w:jc w:val="both"/>
        <w:rPr>
          <w:rFonts w:ascii="Times New Roman" w:hAnsi="Times New Roman" w:cs="Times New Roman"/>
          <w:lang w:val="en-GB"/>
        </w:rPr>
      </w:pPr>
      <w:r w:rsidRPr="00085FA6">
        <w:rPr>
          <w:rFonts w:ascii="Times New Roman" w:hAnsi="Times New Roman" w:cs="Times New Roman"/>
          <w:lang w:val="en-GB"/>
        </w:rPr>
        <w:t xml:space="preserve">For Russia the regional values for </w:t>
      </w:r>
      <w:r>
        <w:rPr>
          <w:rFonts w:ascii="Times New Roman" w:hAnsi="Times New Roman" w:cs="Times New Roman"/>
          <w:lang w:val="en-GB"/>
        </w:rPr>
        <w:t xml:space="preserve">final </w:t>
      </w:r>
      <w:r w:rsidRPr="00085FA6">
        <w:rPr>
          <w:rFonts w:ascii="Times New Roman" w:hAnsi="Times New Roman" w:cs="Times New Roman"/>
          <w:lang w:val="en-GB"/>
        </w:rPr>
        <w:t xml:space="preserve">consumption </w:t>
      </w:r>
      <w:r>
        <w:rPr>
          <w:rFonts w:ascii="Times New Roman" w:hAnsi="Times New Roman" w:cs="Times New Roman"/>
          <w:lang w:val="en-GB"/>
        </w:rPr>
        <w:t xml:space="preserve">expenditures </w:t>
      </w:r>
      <w:r w:rsidRPr="00085FA6">
        <w:rPr>
          <w:rFonts w:ascii="Times New Roman" w:hAnsi="Times New Roman" w:cs="Times New Roman"/>
          <w:lang w:val="en-GB"/>
        </w:rPr>
        <w:t xml:space="preserve">are taken from national account data for gross regional product from </w:t>
      </w:r>
      <w:proofErr w:type="spellStart"/>
      <w:r w:rsidRPr="00085FA6">
        <w:rPr>
          <w:rFonts w:ascii="Times New Roman" w:hAnsi="Times New Roman" w:cs="Times New Roman"/>
          <w:lang w:val="en-GB"/>
        </w:rPr>
        <w:t>Rosstat</w:t>
      </w:r>
      <w:proofErr w:type="spellEnd"/>
      <w:r w:rsidRPr="00085FA6">
        <w:rPr>
          <w:rFonts w:ascii="Times New Roman" w:hAnsi="Times New Roman" w:cs="Times New Roman"/>
          <w:lang w:val="en-GB"/>
        </w:rPr>
        <w:t xml:space="preserve"> (</w:t>
      </w:r>
      <w:hyperlink r:id="rId11" w:history="1">
        <w:r w:rsidRPr="00085FA6">
          <w:rPr>
            <w:rStyle w:val="Hyperlink"/>
            <w:rFonts w:ascii="Times New Roman" w:hAnsi="Times New Roman" w:cs="Times New Roman"/>
            <w:lang w:val="en-GB"/>
          </w:rPr>
          <w:t>www.gks.ru</w:t>
        </w:r>
      </w:hyperlink>
      <w:r w:rsidRPr="00085FA6">
        <w:rPr>
          <w:rFonts w:ascii="Times New Roman" w:hAnsi="Times New Roman" w:cs="Times New Roman"/>
          <w:lang w:val="en-GB"/>
        </w:rPr>
        <w:t xml:space="preserve">). </w:t>
      </w:r>
      <w:proofErr w:type="spellStart"/>
      <w:r w:rsidRPr="00085FA6">
        <w:rPr>
          <w:rFonts w:ascii="Times New Roman" w:hAnsi="Times New Roman" w:cs="Times New Roman"/>
          <w:lang w:val="en-GB"/>
        </w:rPr>
        <w:t>Rosstat</w:t>
      </w:r>
      <w:proofErr w:type="spellEnd"/>
      <w:r w:rsidRPr="00085FA6">
        <w:rPr>
          <w:rFonts w:ascii="Times New Roman" w:hAnsi="Times New Roman" w:cs="Times New Roman"/>
          <w:lang w:val="en-GB"/>
        </w:rPr>
        <w:t xml:space="preserve"> has data on final consumption expenditure for households, but only at national level.</w:t>
      </w:r>
      <w:r w:rsidRPr="00085FA6">
        <w:rPr>
          <w:rStyle w:val="FootnoteReference"/>
          <w:rFonts w:ascii="Times New Roman" w:hAnsi="Times New Roman" w:cs="Times New Roman"/>
          <w:lang w:val="en-GB"/>
        </w:rPr>
        <w:footnoteReference w:id="16"/>
      </w:r>
      <w:r w:rsidRPr="00085FA6">
        <w:rPr>
          <w:rFonts w:ascii="Times New Roman" w:hAnsi="Times New Roman" w:cs="Times New Roman"/>
          <w:lang w:val="en-GB"/>
        </w:rPr>
        <w:t xml:space="preserve"> To allocate this to the three regions we used “Average per capita monthly expenditures on good and services” by region as a proxy for how much of the consumption that takes place in each region.</w:t>
      </w:r>
      <w:r w:rsidRPr="00085FA6">
        <w:rPr>
          <w:rStyle w:val="FootnoteReference"/>
          <w:rFonts w:ascii="Times New Roman" w:hAnsi="Times New Roman" w:cs="Times New Roman"/>
          <w:lang w:val="en-GB"/>
        </w:rPr>
        <w:footnoteReference w:id="17"/>
      </w:r>
      <w:r w:rsidRPr="00085FA6">
        <w:rPr>
          <w:rFonts w:ascii="Times New Roman" w:hAnsi="Times New Roman" w:cs="Times New Roman"/>
          <w:lang w:val="en-GB"/>
        </w:rPr>
        <w:t xml:space="preserve"> </w:t>
      </w:r>
    </w:p>
    <w:p w:rsidR="00773556" w:rsidRPr="00085FA6" w:rsidRDefault="00773556" w:rsidP="00773556">
      <w:pPr>
        <w:jc w:val="both"/>
        <w:rPr>
          <w:rFonts w:ascii="Times New Roman" w:hAnsi="Times New Roman" w:cs="Times New Roman"/>
          <w:lang w:val="en-GB"/>
        </w:rPr>
      </w:pPr>
      <w:r w:rsidRPr="00085FA6">
        <w:rPr>
          <w:rFonts w:ascii="Times New Roman" w:hAnsi="Times New Roman" w:cs="Times New Roman"/>
          <w:lang w:val="en-GB"/>
        </w:rPr>
        <w:t>To find the gross value of production by sector for each region, we have used regional data on the “Sectorial structure of the gross value added of the Russian Federation” in 2009</w:t>
      </w:r>
      <w:r>
        <w:rPr>
          <w:rFonts w:ascii="Times New Roman" w:hAnsi="Times New Roman" w:cs="Times New Roman"/>
          <w:lang w:val="en-GB"/>
        </w:rPr>
        <w:t xml:space="preserve"> (</w:t>
      </w:r>
      <w:hyperlink r:id="rId12" w:history="1">
        <w:r w:rsidRPr="0056480D">
          <w:rPr>
            <w:rStyle w:val="Hyperlink"/>
            <w:rFonts w:ascii="Times New Roman" w:hAnsi="Times New Roman" w:cs="Times New Roman"/>
            <w:lang w:val="en-GB"/>
          </w:rPr>
          <w:t>www.gks.ru</w:t>
        </w:r>
      </w:hyperlink>
      <w:r>
        <w:rPr>
          <w:rFonts w:ascii="Times New Roman" w:hAnsi="Times New Roman" w:cs="Times New Roman"/>
          <w:lang w:val="en-GB"/>
        </w:rPr>
        <w:t xml:space="preserve">), </w:t>
      </w:r>
      <w:r w:rsidRPr="00085FA6">
        <w:rPr>
          <w:rFonts w:ascii="Times New Roman" w:hAnsi="Times New Roman" w:cs="Times New Roman"/>
          <w:lang w:val="en-GB"/>
        </w:rPr>
        <w:t>along with the gross regional product for each region.</w:t>
      </w:r>
      <w:r w:rsidRPr="00085FA6">
        <w:rPr>
          <w:rStyle w:val="FootnoteReference"/>
          <w:rFonts w:ascii="Times New Roman" w:hAnsi="Times New Roman" w:cs="Times New Roman"/>
          <w:lang w:val="en-GB"/>
        </w:rPr>
        <w:footnoteReference w:id="18"/>
      </w:r>
      <w:r w:rsidRPr="00085FA6">
        <w:rPr>
          <w:rFonts w:ascii="Times New Roman" w:hAnsi="Times New Roman" w:cs="Times New Roman"/>
          <w:lang w:val="en-GB"/>
        </w:rPr>
        <w:t xml:space="preserve"> </w:t>
      </w:r>
    </w:p>
    <w:p w:rsidR="00773556" w:rsidRDefault="00773556" w:rsidP="00773556">
      <w:pPr>
        <w:rPr>
          <w:rFonts w:ascii="Times New Roman" w:hAnsi="Times New Roman" w:cs="Times New Roman"/>
          <w:lang w:val="en-GB"/>
        </w:rPr>
      </w:pPr>
    </w:p>
    <w:p w:rsidR="00773556" w:rsidRDefault="00773556" w:rsidP="00773556">
      <w:pPr>
        <w:pStyle w:val="Heading3"/>
        <w:jc w:val="both"/>
        <w:rPr>
          <w:lang w:val="en-GB"/>
        </w:rPr>
      </w:pPr>
      <w:bookmarkStart w:id="7" w:name="_Toc386631749"/>
      <w:r>
        <w:rPr>
          <w:lang w:val="en-GB"/>
        </w:rPr>
        <w:t>3.7.7 Supply of fuels</w:t>
      </w:r>
      <w:bookmarkEnd w:id="7"/>
    </w:p>
    <w:p w:rsidR="00773556" w:rsidRDefault="00773556" w:rsidP="00773556">
      <w:pPr>
        <w:jc w:val="both"/>
        <w:rPr>
          <w:rFonts w:ascii="Times New Roman" w:hAnsi="Times New Roman" w:cs="Times New Roman"/>
          <w:lang w:val="en-GB"/>
        </w:rPr>
      </w:pPr>
      <w:r>
        <w:rPr>
          <w:rFonts w:ascii="Times New Roman" w:hAnsi="Times New Roman" w:cs="Times New Roman"/>
          <w:lang w:val="en-GB"/>
        </w:rPr>
        <w:t xml:space="preserve">Supply is modelled in the same way as for the other model countries. IEA Extended Energy Balances has been used as the main source for total production data for Russia (see chapter 3.2.1). To regionalise these several sources have been used. </w:t>
      </w:r>
      <w:proofErr w:type="spellStart"/>
      <w:r w:rsidRPr="00085FA6">
        <w:rPr>
          <w:rFonts w:ascii="Times New Roman" w:eastAsia="SimSun" w:hAnsi="Times New Roman" w:cs="Times New Roman"/>
          <w:lang w:val="en-GB"/>
        </w:rPr>
        <w:t>Rystad</w:t>
      </w:r>
      <w:proofErr w:type="spellEnd"/>
      <w:r w:rsidRPr="00085FA6">
        <w:rPr>
          <w:rFonts w:ascii="Times New Roman" w:eastAsia="SimSun" w:hAnsi="Times New Roman" w:cs="Times New Roman"/>
          <w:lang w:val="en-GB"/>
        </w:rPr>
        <w:t xml:space="preserve"> Energy has unofficial regional data for oil and gas producti</w:t>
      </w:r>
      <w:r>
        <w:rPr>
          <w:rFonts w:ascii="Times New Roman" w:eastAsia="SimSun" w:hAnsi="Times New Roman" w:cs="Times New Roman"/>
          <w:lang w:val="en-GB"/>
        </w:rPr>
        <w:t xml:space="preserve">on. This detailed dataset has been </w:t>
      </w:r>
      <w:r w:rsidRPr="00085FA6">
        <w:rPr>
          <w:rFonts w:ascii="Times New Roman" w:eastAsia="SimSun" w:hAnsi="Times New Roman" w:cs="Times New Roman"/>
          <w:lang w:val="en-GB"/>
        </w:rPr>
        <w:t>aggregate</w:t>
      </w:r>
      <w:r>
        <w:rPr>
          <w:rFonts w:ascii="Times New Roman" w:eastAsia="SimSun" w:hAnsi="Times New Roman" w:cs="Times New Roman"/>
          <w:lang w:val="en-GB"/>
        </w:rPr>
        <w:t>d</w:t>
      </w:r>
      <w:r w:rsidRPr="00085FA6">
        <w:rPr>
          <w:rFonts w:ascii="Times New Roman" w:eastAsia="SimSun" w:hAnsi="Times New Roman" w:cs="Times New Roman"/>
          <w:lang w:val="en-GB"/>
        </w:rPr>
        <w:t xml:space="preserve"> </w:t>
      </w:r>
      <w:r>
        <w:rPr>
          <w:rFonts w:ascii="Times New Roman" w:eastAsia="SimSun" w:hAnsi="Times New Roman" w:cs="Times New Roman"/>
          <w:lang w:val="en-GB"/>
        </w:rPr>
        <w:t xml:space="preserve">and </w:t>
      </w:r>
      <w:r w:rsidRPr="00085FA6">
        <w:rPr>
          <w:rFonts w:ascii="Times New Roman" w:eastAsia="SimSun" w:hAnsi="Times New Roman" w:cs="Times New Roman"/>
          <w:lang w:val="en-GB"/>
        </w:rPr>
        <w:t xml:space="preserve">a </w:t>
      </w:r>
      <w:r>
        <w:rPr>
          <w:rFonts w:ascii="Times New Roman" w:eastAsia="SimSun" w:hAnsi="Times New Roman" w:cs="Times New Roman"/>
          <w:lang w:val="en-GB"/>
        </w:rPr>
        <w:t>set of parameters</w:t>
      </w:r>
      <w:r w:rsidRPr="00085FA6">
        <w:rPr>
          <w:rFonts w:ascii="Times New Roman" w:eastAsia="SimSun" w:hAnsi="Times New Roman" w:cs="Times New Roman"/>
          <w:lang w:val="en-GB"/>
        </w:rPr>
        <w:t xml:space="preserve"> </w:t>
      </w:r>
      <w:r>
        <w:rPr>
          <w:rFonts w:ascii="Times New Roman" w:eastAsia="SimSun" w:hAnsi="Times New Roman" w:cs="Times New Roman"/>
          <w:lang w:val="en-GB"/>
        </w:rPr>
        <w:t xml:space="preserve">have been calibrated </w:t>
      </w:r>
      <w:r w:rsidRPr="00085FA6">
        <w:rPr>
          <w:rFonts w:ascii="Times New Roman" w:eastAsia="SimSun" w:hAnsi="Times New Roman" w:cs="Times New Roman"/>
          <w:lang w:val="en-GB"/>
        </w:rPr>
        <w:t xml:space="preserve">for </w:t>
      </w:r>
      <w:r>
        <w:rPr>
          <w:rFonts w:ascii="Times New Roman" w:eastAsia="SimSun" w:hAnsi="Times New Roman" w:cs="Times New Roman"/>
          <w:lang w:val="en-GB"/>
        </w:rPr>
        <w:t xml:space="preserve">gas and coal for the </w:t>
      </w:r>
      <w:r w:rsidRPr="00085FA6">
        <w:rPr>
          <w:rFonts w:ascii="Times New Roman" w:eastAsia="SimSun" w:hAnsi="Times New Roman" w:cs="Times New Roman"/>
          <w:lang w:val="en-GB"/>
        </w:rPr>
        <w:t>three regions. For coking coal and steam coal the parameters used when Russia is an exogenous country</w:t>
      </w:r>
      <w:r>
        <w:rPr>
          <w:rFonts w:ascii="Times New Roman" w:eastAsia="SimSun" w:hAnsi="Times New Roman" w:cs="Times New Roman"/>
          <w:lang w:val="en-GB"/>
        </w:rPr>
        <w:t xml:space="preserve"> </w:t>
      </w:r>
      <w:r w:rsidRPr="00085FA6">
        <w:rPr>
          <w:rFonts w:ascii="Times New Roman" w:eastAsia="SimSun" w:hAnsi="Times New Roman" w:cs="Times New Roman"/>
          <w:lang w:val="en-GB"/>
        </w:rPr>
        <w:t xml:space="preserve">(see </w:t>
      </w:r>
      <w:r>
        <w:rPr>
          <w:rFonts w:ascii="Times New Roman" w:eastAsia="SimSun" w:hAnsi="Times New Roman" w:cs="Times New Roman"/>
          <w:lang w:val="en-GB"/>
        </w:rPr>
        <w:t>chapter 3.2.1)</w:t>
      </w:r>
      <w:r w:rsidRPr="00085FA6">
        <w:rPr>
          <w:rFonts w:ascii="Times New Roman" w:eastAsia="SimSun" w:hAnsi="Times New Roman" w:cs="Times New Roman"/>
          <w:lang w:val="en-GB"/>
        </w:rPr>
        <w:t xml:space="preserve"> </w:t>
      </w:r>
      <w:r>
        <w:rPr>
          <w:rFonts w:ascii="Times New Roman" w:eastAsia="SimSun" w:hAnsi="Times New Roman" w:cs="Times New Roman"/>
          <w:lang w:val="en-GB"/>
        </w:rPr>
        <w:t>are regionalised through using</w:t>
      </w:r>
      <w:r w:rsidRPr="00085FA6">
        <w:rPr>
          <w:rFonts w:ascii="Times New Roman" w:eastAsia="SimSun" w:hAnsi="Times New Roman" w:cs="Times New Roman"/>
          <w:lang w:val="en-GB"/>
        </w:rPr>
        <w:t xml:space="preserve"> regional production data from Statistical Yearbook of Russia (2009). Despite having a large biomass potential, production of biomass is not well developed in Russia due to the costs being high compared to other energy alternatives. There is little production in the base year</w:t>
      </w:r>
      <w:r>
        <w:rPr>
          <w:rFonts w:ascii="Times New Roman" w:eastAsia="SimSun" w:hAnsi="Times New Roman" w:cs="Times New Roman"/>
          <w:lang w:val="en-GB"/>
        </w:rPr>
        <w:t>,</w:t>
      </w:r>
      <w:r w:rsidRPr="00085FA6">
        <w:rPr>
          <w:rFonts w:ascii="Times New Roman" w:eastAsia="SimSun" w:hAnsi="Times New Roman" w:cs="Times New Roman"/>
          <w:lang w:val="en-GB"/>
        </w:rPr>
        <w:t xml:space="preserve"> and due to lack of data</w:t>
      </w:r>
      <w:r>
        <w:rPr>
          <w:rFonts w:ascii="Times New Roman" w:eastAsia="SimSun" w:hAnsi="Times New Roman" w:cs="Times New Roman"/>
          <w:lang w:val="en-GB"/>
        </w:rPr>
        <w:t>,</w:t>
      </w:r>
      <w:r w:rsidRPr="00085FA6">
        <w:rPr>
          <w:rFonts w:ascii="Times New Roman" w:eastAsia="SimSun" w:hAnsi="Times New Roman" w:cs="Times New Roman"/>
          <w:lang w:val="en-GB"/>
        </w:rPr>
        <w:t xml:space="preserve"> </w:t>
      </w:r>
      <w:r>
        <w:rPr>
          <w:rFonts w:ascii="Times New Roman" w:eastAsia="SimSun" w:hAnsi="Times New Roman" w:cs="Times New Roman"/>
          <w:lang w:val="en-GB"/>
        </w:rPr>
        <w:t>it is</w:t>
      </w:r>
      <w:r w:rsidRPr="00085FA6">
        <w:rPr>
          <w:rFonts w:ascii="Times New Roman" w:eastAsia="SimSun" w:hAnsi="Times New Roman" w:cs="Times New Roman"/>
          <w:lang w:val="en-GB"/>
        </w:rPr>
        <w:t xml:space="preserve"> assume</w:t>
      </w:r>
      <w:r>
        <w:rPr>
          <w:rFonts w:ascii="Times New Roman" w:eastAsia="SimSun" w:hAnsi="Times New Roman" w:cs="Times New Roman"/>
          <w:lang w:val="en-GB"/>
        </w:rPr>
        <w:t>d</w:t>
      </w:r>
      <w:r w:rsidRPr="00085FA6">
        <w:rPr>
          <w:rFonts w:ascii="Times New Roman" w:eastAsia="SimSun" w:hAnsi="Times New Roman" w:cs="Times New Roman"/>
          <w:lang w:val="en-GB"/>
        </w:rPr>
        <w:t xml:space="preserve"> that the biomass production is split equally between the three regions. </w:t>
      </w:r>
      <w:r w:rsidRPr="00085FA6">
        <w:rPr>
          <w:rFonts w:ascii="Times New Roman" w:hAnsi="Times New Roman" w:cs="Times New Roman"/>
          <w:lang w:val="en-GB"/>
        </w:rPr>
        <w:t xml:space="preserve">Russia does not have any production of biofuels in the base year. </w:t>
      </w:r>
    </w:p>
    <w:p w:rsidR="00773556" w:rsidRPr="00085FA6" w:rsidRDefault="00773556" w:rsidP="00773556">
      <w:pPr>
        <w:jc w:val="both"/>
        <w:rPr>
          <w:rFonts w:ascii="Times New Roman" w:eastAsia="SimSun" w:hAnsi="Times New Roman" w:cs="Times New Roman"/>
          <w:lang w:val="en-GB"/>
        </w:rPr>
      </w:pPr>
    </w:p>
    <w:p w:rsidR="00773556" w:rsidRDefault="00773556" w:rsidP="00773556">
      <w:pPr>
        <w:pStyle w:val="Heading3"/>
        <w:jc w:val="both"/>
        <w:rPr>
          <w:lang w:val="en-US"/>
        </w:rPr>
      </w:pPr>
      <w:bookmarkStart w:id="8" w:name="_Toc386631750"/>
      <w:r>
        <w:rPr>
          <w:lang w:val="en-US"/>
        </w:rPr>
        <w:t>3.7.8 Supply of renewables</w:t>
      </w:r>
      <w:bookmarkEnd w:id="8"/>
    </w:p>
    <w:p w:rsidR="00773556" w:rsidRDefault="00773556" w:rsidP="00773556">
      <w:pPr>
        <w:jc w:val="both"/>
        <w:rPr>
          <w:rFonts w:ascii="Times New Roman" w:hAnsi="Times New Roman" w:cs="Times New Roman"/>
          <w:lang w:val="en-US"/>
        </w:rPr>
      </w:pPr>
      <w:r w:rsidRPr="00EA133B">
        <w:rPr>
          <w:rFonts w:ascii="Times New Roman" w:hAnsi="Times New Roman" w:cs="Times New Roman"/>
          <w:lang w:val="en-US"/>
        </w:rPr>
        <w:t xml:space="preserve">To estimate the hydropower potential in RU1, RU2 and RU3 the total for Russia from World Atlas and Industry Guide (2011) was used as a starting point. </w:t>
      </w:r>
      <w:r>
        <w:rPr>
          <w:rFonts w:ascii="Times New Roman" w:hAnsi="Times New Roman" w:cs="Times New Roman"/>
          <w:lang w:val="en-US"/>
        </w:rPr>
        <w:t>Black and Veatch</w:t>
      </w:r>
      <w:r>
        <w:rPr>
          <w:rStyle w:val="FootnoteReference"/>
          <w:rFonts w:ascii="Times New Roman" w:hAnsi="Times New Roman" w:cs="Times New Roman"/>
          <w:lang w:val="en-US"/>
        </w:rPr>
        <w:footnoteReference w:id="19"/>
      </w:r>
      <w:r>
        <w:rPr>
          <w:rFonts w:ascii="Times New Roman" w:hAnsi="Times New Roman" w:cs="Times New Roman"/>
          <w:lang w:val="en-US"/>
        </w:rPr>
        <w:t xml:space="preserve"> provide information about how the potential is distributed between the federal districts. Half the potential defined as “economic” has been used. This is in line with the approached used for the other model countries in order not to overestimate the hydropower potential (see chapter 3.2.2). </w:t>
      </w:r>
    </w:p>
    <w:p w:rsidR="00773556" w:rsidRDefault="00773556" w:rsidP="00773556">
      <w:pPr>
        <w:jc w:val="both"/>
        <w:rPr>
          <w:rFonts w:ascii="Times New Roman" w:hAnsi="Times New Roman" w:cs="Times New Roman"/>
          <w:lang w:val="en-US"/>
        </w:rPr>
      </w:pPr>
      <w:r w:rsidRPr="00EA133B">
        <w:rPr>
          <w:rFonts w:ascii="Times New Roman" w:hAnsi="Times New Roman" w:cs="Times New Roman"/>
          <w:lang w:val="en-US"/>
        </w:rPr>
        <w:t xml:space="preserve">The inflow capacity in a hydrological normal year is defined as the amount of precipitation that reaches the catchment area and is available for hydropower production. For the </w:t>
      </w:r>
      <w:r>
        <w:rPr>
          <w:rFonts w:ascii="Times New Roman" w:hAnsi="Times New Roman" w:cs="Times New Roman"/>
          <w:lang w:val="en-US"/>
        </w:rPr>
        <w:t xml:space="preserve">three regions the </w:t>
      </w:r>
      <w:r w:rsidRPr="00EA133B">
        <w:rPr>
          <w:rFonts w:ascii="Times New Roman" w:hAnsi="Times New Roman" w:cs="Times New Roman"/>
          <w:lang w:val="en-US"/>
        </w:rPr>
        <w:t>inflow proxy</w:t>
      </w:r>
      <w:r>
        <w:rPr>
          <w:rFonts w:ascii="Times New Roman" w:hAnsi="Times New Roman" w:cs="Times New Roman"/>
          <w:lang w:val="en-US"/>
        </w:rPr>
        <w:t xml:space="preserve"> was created using data from the System Operator of the Unified Energy System of Russia (SO UES)</w:t>
      </w:r>
      <w:r w:rsidRPr="00EA133B">
        <w:rPr>
          <w:rFonts w:ascii="Times New Roman" w:hAnsi="Times New Roman" w:cs="Times New Roman"/>
          <w:lang w:val="en-US"/>
        </w:rPr>
        <w:t xml:space="preserve">. This is done by using the average net reservoir hydropower production per unit net reservoir hydropower generation capacity for the years </w:t>
      </w:r>
      <w:r>
        <w:rPr>
          <w:rFonts w:ascii="Times New Roman" w:hAnsi="Times New Roman" w:cs="Times New Roman"/>
          <w:lang w:val="en-US"/>
        </w:rPr>
        <w:t>2009 - 2012</w:t>
      </w:r>
      <w:r w:rsidRPr="00EA133B">
        <w:rPr>
          <w:rFonts w:ascii="Times New Roman" w:hAnsi="Times New Roman" w:cs="Times New Roman"/>
          <w:lang w:val="en-US"/>
        </w:rPr>
        <w:t xml:space="preserve">, which is then multiplied by the net generation capacity of the base year 2009. The result is a </w:t>
      </w:r>
      <w:r>
        <w:rPr>
          <w:rFonts w:ascii="Times New Roman" w:hAnsi="Times New Roman" w:cs="Times New Roman"/>
          <w:lang w:val="en-US"/>
        </w:rPr>
        <w:t>region</w:t>
      </w:r>
      <w:r w:rsidRPr="00EA133B">
        <w:rPr>
          <w:rFonts w:ascii="Times New Roman" w:hAnsi="Times New Roman" w:cs="Times New Roman"/>
          <w:lang w:val="en-US"/>
        </w:rPr>
        <w:t xml:space="preserve">-specific estimate of inflow capacity in a hydrological normal year. </w:t>
      </w:r>
    </w:p>
    <w:p w:rsidR="00773556" w:rsidRDefault="00773556" w:rsidP="00773556">
      <w:pPr>
        <w:jc w:val="both"/>
        <w:rPr>
          <w:rFonts w:ascii="Times New Roman" w:hAnsi="Times New Roman" w:cs="Times New Roman"/>
          <w:lang w:val="en-GB"/>
        </w:rPr>
      </w:pPr>
      <w:r>
        <w:rPr>
          <w:rFonts w:ascii="Times New Roman" w:hAnsi="Times New Roman" w:cs="Times New Roman"/>
          <w:lang w:val="en-US"/>
        </w:rPr>
        <w:lastRenderedPageBreak/>
        <w:t xml:space="preserve">This has been supplemented with information about the pumped storage production and capacity from </w:t>
      </w:r>
      <w:proofErr w:type="spellStart"/>
      <w:r>
        <w:rPr>
          <w:rFonts w:ascii="Times New Roman" w:hAnsi="Times New Roman" w:cs="Times New Roman"/>
          <w:lang w:val="en-US"/>
        </w:rPr>
        <w:t>RusHydro</w:t>
      </w:r>
      <w:proofErr w:type="spellEnd"/>
      <w:r>
        <w:rPr>
          <w:rFonts w:ascii="Times New Roman" w:hAnsi="Times New Roman" w:cs="Times New Roman"/>
          <w:lang w:val="en-US"/>
        </w:rPr>
        <w:t xml:space="preserve"> (2010). It is assumed that there is no run-of-river capacity in the base </w:t>
      </w:r>
      <w:proofErr w:type="gramStart"/>
      <w:r>
        <w:rPr>
          <w:rFonts w:ascii="Times New Roman" w:hAnsi="Times New Roman" w:cs="Times New Roman"/>
          <w:lang w:val="en-US"/>
        </w:rPr>
        <w:t>year,</w:t>
      </w:r>
      <w:proofErr w:type="gramEnd"/>
      <w:r>
        <w:rPr>
          <w:rFonts w:ascii="Times New Roman" w:hAnsi="Times New Roman" w:cs="Times New Roman"/>
          <w:lang w:val="en-US"/>
        </w:rPr>
        <w:t xml:space="preserve"> however a share of the potential can be used for run-of-river development in future years. </w:t>
      </w:r>
      <w:r>
        <w:rPr>
          <w:rFonts w:ascii="Times New Roman" w:hAnsi="Times New Roman" w:cs="Times New Roman"/>
          <w:lang w:val="en-GB"/>
        </w:rPr>
        <w:t xml:space="preserve">Due to lack of data sources on reservoir capacity and filling shares in Russia the same approach was used for the three Russian regions as for other model countries with no data (see chapter 3.2.2). </w:t>
      </w:r>
    </w:p>
    <w:p w:rsidR="00773556" w:rsidRDefault="00773556" w:rsidP="00773556">
      <w:pPr>
        <w:jc w:val="both"/>
        <w:rPr>
          <w:rFonts w:ascii="Times New Roman" w:hAnsi="Times New Roman" w:cs="Times New Roman"/>
          <w:lang w:val="en-GB"/>
        </w:rPr>
      </w:pPr>
      <w:r>
        <w:rPr>
          <w:rFonts w:ascii="Times New Roman" w:hAnsi="Times New Roman" w:cs="Times New Roman"/>
          <w:lang w:val="en-GB"/>
        </w:rPr>
        <w:t>The solar power potential in the three regions is based on the same sources as for the rest of the model countries. Through the NASA database the best and worst locations for solar insolation were found, using the same dataset as outlined in chapter 3.2.3. After finding 0.5 % of the agricultural land in Russia it was allocated to the three regions through the use of a map of agricultural areas in the country</w:t>
      </w:r>
      <w:r>
        <w:rPr>
          <w:rStyle w:val="FootnoteReference"/>
          <w:rFonts w:ascii="Times New Roman" w:hAnsi="Times New Roman" w:cs="Times New Roman"/>
          <w:lang w:val="en-GB"/>
        </w:rPr>
        <w:footnoteReference w:id="20"/>
      </w:r>
      <w:r>
        <w:rPr>
          <w:rFonts w:ascii="Times New Roman" w:hAnsi="Times New Roman" w:cs="Times New Roman"/>
          <w:lang w:val="en-GB"/>
        </w:rPr>
        <w:t>.</w:t>
      </w:r>
    </w:p>
    <w:p w:rsidR="00773556" w:rsidRPr="00D500F9" w:rsidRDefault="00E45980" w:rsidP="00773556">
      <w:pPr>
        <w:rPr>
          <w:rFonts w:ascii="Times New Roman" w:hAnsi="Times New Roman" w:cs="Times New Roman"/>
          <w:b/>
          <w:sz w:val="20"/>
          <w:szCs w:val="20"/>
          <w:lang w:val="en-GB"/>
        </w:rPr>
      </w:pPr>
      <w:r>
        <w:rPr>
          <w:rFonts w:ascii="Times New Roman" w:hAnsi="Times New Roman" w:cs="Times New Roman"/>
          <w:b/>
          <w:sz w:val="20"/>
          <w:szCs w:val="20"/>
          <w:lang w:val="en-GB"/>
        </w:rPr>
        <w:br/>
      </w:r>
      <w:r w:rsidR="00773556" w:rsidRPr="00D500F9">
        <w:rPr>
          <w:rFonts w:ascii="Times New Roman" w:hAnsi="Times New Roman" w:cs="Times New Roman"/>
          <w:b/>
          <w:sz w:val="20"/>
          <w:szCs w:val="20"/>
          <w:lang w:val="en-GB"/>
        </w:rPr>
        <w:t xml:space="preserve">Table </w:t>
      </w:r>
      <w:r w:rsidR="00773556">
        <w:rPr>
          <w:rFonts w:ascii="Times New Roman" w:hAnsi="Times New Roman" w:cs="Times New Roman"/>
          <w:b/>
          <w:sz w:val="20"/>
          <w:szCs w:val="20"/>
          <w:lang w:val="en-GB"/>
        </w:rPr>
        <w:t>20</w:t>
      </w:r>
      <w:r w:rsidR="00773556" w:rsidRPr="00D500F9">
        <w:rPr>
          <w:rFonts w:ascii="Times New Roman" w:hAnsi="Times New Roman" w:cs="Times New Roman"/>
          <w:b/>
          <w:sz w:val="20"/>
          <w:szCs w:val="20"/>
          <w:lang w:val="en-GB"/>
        </w:rPr>
        <w:t xml:space="preserve"> Solar insolation kWh/m</w:t>
      </w:r>
      <w:r w:rsidR="00773556" w:rsidRPr="00D500F9">
        <w:rPr>
          <w:rFonts w:ascii="Times New Roman" w:hAnsi="Times New Roman" w:cs="Times New Roman"/>
          <w:b/>
          <w:sz w:val="20"/>
          <w:szCs w:val="20"/>
          <w:vertAlign w:val="superscript"/>
          <w:lang w:val="en-GB"/>
        </w:rPr>
        <w:t>2</w:t>
      </w:r>
      <w:r w:rsidR="00773556" w:rsidRPr="00D500F9">
        <w:rPr>
          <w:rFonts w:ascii="Times New Roman" w:hAnsi="Times New Roman" w:cs="Times New Roman"/>
          <w:b/>
          <w:sz w:val="20"/>
          <w:szCs w:val="20"/>
          <w:lang w:val="en-GB"/>
        </w:rPr>
        <w:t>/year (Average radiation incident on an equator-pointed tilted surface)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3"/>
        <w:gridCol w:w="1730"/>
        <w:gridCol w:w="1788"/>
      </w:tblGrid>
      <w:tr w:rsidR="00773556" w:rsidRPr="00D500F9" w:rsidTr="00E45980">
        <w:trPr>
          <w:trHeight w:val="273"/>
        </w:trPr>
        <w:tc>
          <w:tcPr>
            <w:tcW w:w="1213" w:type="dxa"/>
            <w:tcBorders>
              <w:top w:val="single" w:sz="4" w:space="0" w:color="auto"/>
              <w:bottom w:val="single" w:sz="4" w:space="0" w:color="auto"/>
            </w:tcBorders>
          </w:tcPr>
          <w:p w:rsidR="00773556" w:rsidRPr="00D500F9" w:rsidRDefault="00773556" w:rsidP="00A8093A">
            <w:pPr>
              <w:rPr>
                <w:rFonts w:ascii="Times New Roman" w:hAnsi="Times New Roman" w:cs="Times New Roman"/>
                <w:sz w:val="20"/>
                <w:szCs w:val="20"/>
                <w:lang w:val="en-GB"/>
              </w:rPr>
            </w:pPr>
            <w:r w:rsidRPr="00D500F9">
              <w:rPr>
                <w:rFonts w:ascii="Times New Roman" w:hAnsi="Times New Roman" w:cs="Times New Roman"/>
                <w:sz w:val="20"/>
                <w:szCs w:val="20"/>
                <w:lang w:val="en-GB"/>
              </w:rPr>
              <w:t>Country</w:t>
            </w:r>
          </w:p>
        </w:tc>
        <w:tc>
          <w:tcPr>
            <w:tcW w:w="1730" w:type="dxa"/>
            <w:tcBorders>
              <w:top w:val="single" w:sz="4" w:space="0" w:color="auto"/>
              <w:bottom w:val="single" w:sz="4" w:space="0" w:color="auto"/>
            </w:tcBorders>
          </w:tcPr>
          <w:p w:rsidR="00773556" w:rsidRPr="00D500F9" w:rsidRDefault="00773556" w:rsidP="00A8093A">
            <w:pPr>
              <w:jc w:val="right"/>
              <w:rPr>
                <w:rFonts w:ascii="Times New Roman" w:hAnsi="Times New Roman" w:cs="Times New Roman"/>
                <w:b/>
                <w:i/>
                <w:sz w:val="20"/>
                <w:szCs w:val="20"/>
                <w:lang w:val="en-GB"/>
              </w:rPr>
            </w:pPr>
            <w:r w:rsidRPr="00D500F9">
              <w:rPr>
                <w:rFonts w:ascii="Times New Roman" w:hAnsi="Times New Roman" w:cs="Times New Roman"/>
                <w:sz w:val="20"/>
                <w:szCs w:val="20"/>
                <w:lang w:val="en-GB"/>
              </w:rPr>
              <w:t xml:space="preserve">Best </w:t>
            </w:r>
            <w:r w:rsidRPr="00D500F9">
              <w:rPr>
                <w:rFonts w:ascii="Times New Roman" w:hAnsi="Times New Roman" w:cs="Times New Roman"/>
                <w:b/>
                <w:i/>
                <w:sz w:val="20"/>
                <w:szCs w:val="20"/>
                <w:lang w:val="en-GB"/>
              </w:rPr>
              <w:t>(angle)</w:t>
            </w:r>
          </w:p>
        </w:tc>
        <w:tc>
          <w:tcPr>
            <w:tcW w:w="1788" w:type="dxa"/>
            <w:tcBorders>
              <w:top w:val="single" w:sz="4" w:space="0" w:color="auto"/>
              <w:bottom w:val="single" w:sz="4" w:space="0" w:color="auto"/>
            </w:tcBorders>
          </w:tcPr>
          <w:p w:rsidR="00773556" w:rsidRPr="00D500F9" w:rsidRDefault="00773556" w:rsidP="00A8093A">
            <w:pPr>
              <w:jc w:val="right"/>
              <w:rPr>
                <w:rFonts w:ascii="Times New Roman" w:hAnsi="Times New Roman" w:cs="Times New Roman"/>
                <w:b/>
                <w:i/>
                <w:sz w:val="20"/>
                <w:szCs w:val="20"/>
                <w:lang w:val="en-GB"/>
              </w:rPr>
            </w:pPr>
            <w:r w:rsidRPr="00D500F9">
              <w:rPr>
                <w:rFonts w:ascii="Times New Roman" w:hAnsi="Times New Roman" w:cs="Times New Roman"/>
                <w:sz w:val="20"/>
                <w:szCs w:val="20"/>
                <w:lang w:val="en-GB"/>
              </w:rPr>
              <w:t>Worst</w:t>
            </w:r>
            <w:r w:rsidRPr="00D500F9">
              <w:rPr>
                <w:rFonts w:ascii="Times New Roman" w:hAnsi="Times New Roman" w:cs="Times New Roman"/>
                <w:b/>
                <w:i/>
                <w:sz w:val="20"/>
                <w:szCs w:val="20"/>
                <w:lang w:val="en-GB"/>
              </w:rPr>
              <w:t xml:space="preserve"> (angle)</w:t>
            </w:r>
          </w:p>
        </w:tc>
      </w:tr>
      <w:tr w:rsidR="00773556" w:rsidRPr="00D500F9" w:rsidTr="00A8093A">
        <w:trPr>
          <w:trHeight w:val="286"/>
        </w:trPr>
        <w:tc>
          <w:tcPr>
            <w:tcW w:w="1213" w:type="dxa"/>
            <w:tcBorders>
              <w:top w:val="single" w:sz="4" w:space="0" w:color="auto"/>
            </w:tcBorders>
          </w:tcPr>
          <w:p w:rsidR="00773556" w:rsidRPr="00DE3076" w:rsidRDefault="00773556" w:rsidP="00A8093A">
            <w:pPr>
              <w:rPr>
                <w:rFonts w:ascii="Times New Roman" w:hAnsi="Times New Roman" w:cs="Times New Roman"/>
                <w:sz w:val="20"/>
                <w:szCs w:val="20"/>
                <w:lang w:val="en-GB"/>
              </w:rPr>
            </w:pPr>
            <w:r w:rsidRPr="00DE3076">
              <w:rPr>
                <w:rFonts w:ascii="Times New Roman" w:hAnsi="Times New Roman" w:cs="Times New Roman"/>
                <w:sz w:val="20"/>
                <w:szCs w:val="20"/>
                <w:lang w:val="en-GB"/>
              </w:rPr>
              <w:t>RU1</w:t>
            </w:r>
          </w:p>
        </w:tc>
        <w:tc>
          <w:tcPr>
            <w:tcW w:w="1730" w:type="dxa"/>
            <w:tcBorders>
              <w:top w:val="single" w:sz="4" w:space="0" w:color="auto"/>
            </w:tcBorders>
          </w:tcPr>
          <w:p w:rsidR="00773556" w:rsidRPr="00D500F9" w:rsidRDefault="00773556" w:rsidP="00A8093A">
            <w:pPr>
              <w:jc w:val="right"/>
              <w:rPr>
                <w:rFonts w:ascii="Times New Roman" w:hAnsi="Times New Roman" w:cs="Times New Roman"/>
                <w:sz w:val="20"/>
                <w:szCs w:val="20"/>
                <w:lang w:val="en-GB"/>
              </w:rPr>
            </w:pPr>
            <w:r w:rsidRPr="00D500F9">
              <w:rPr>
                <w:rFonts w:ascii="Times New Roman" w:hAnsi="Times New Roman" w:cs="Times New Roman"/>
                <w:sz w:val="20"/>
                <w:szCs w:val="20"/>
                <w:lang w:val="en-GB"/>
              </w:rPr>
              <w:t>1521 (28)</w:t>
            </w:r>
          </w:p>
        </w:tc>
        <w:tc>
          <w:tcPr>
            <w:tcW w:w="1788" w:type="dxa"/>
            <w:tcBorders>
              <w:top w:val="single" w:sz="4" w:space="0" w:color="auto"/>
            </w:tcBorders>
          </w:tcPr>
          <w:p w:rsidR="00773556" w:rsidRPr="00D500F9" w:rsidRDefault="00773556" w:rsidP="00A8093A">
            <w:pPr>
              <w:jc w:val="right"/>
              <w:rPr>
                <w:rFonts w:ascii="Times New Roman" w:hAnsi="Times New Roman" w:cs="Times New Roman"/>
                <w:sz w:val="20"/>
                <w:szCs w:val="20"/>
                <w:lang w:val="en-GB"/>
              </w:rPr>
            </w:pPr>
            <w:r w:rsidRPr="00D500F9">
              <w:rPr>
                <w:rFonts w:ascii="Times New Roman" w:hAnsi="Times New Roman" w:cs="Times New Roman"/>
                <w:sz w:val="20"/>
                <w:szCs w:val="20"/>
                <w:lang w:val="en-GB"/>
              </w:rPr>
              <w:t xml:space="preserve">  917 (53)</w:t>
            </w:r>
          </w:p>
        </w:tc>
      </w:tr>
      <w:tr w:rsidR="00773556" w:rsidRPr="00D500F9" w:rsidTr="00E45980">
        <w:trPr>
          <w:trHeight w:val="286"/>
        </w:trPr>
        <w:tc>
          <w:tcPr>
            <w:tcW w:w="1213" w:type="dxa"/>
          </w:tcPr>
          <w:p w:rsidR="00773556" w:rsidRPr="00DE3076" w:rsidRDefault="00773556" w:rsidP="00A8093A">
            <w:pPr>
              <w:rPr>
                <w:rFonts w:ascii="Times New Roman" w:hAnsi="Times New Roman" w:cs="Times New Roman"/>
                <w:sz w:val="20"/>
                <w:szCs w:val="20"/>
                <w:lang w:val="en-GB"/>
              </w:rPr>
            </w:pPr>
            <w:r w:rsidRPr="00DE3076">
              <w:rPr>
                <w:rFonts w:ascii="Times New Roman" w:hAnsi="Times New Roman" w:cs="Times New Roman"/>
                <w:sz w:val="20"/>
                <w:szCs w:val="20"/>
                <w:lang w:val="en-GB"/>
              </w:rPr>
              <w:t>RU2</w:t>
            </w:r>
          </w:p>
        </w:tc>
        <w:tc>
          <w:tcPr>
            <w:tcW w:w="1730" w:type="dxa"/>
          </w:tcPr>
          <w:p w:rsidR="00773556" w:rsidRPr="00D500F9" w:rsidRDefault="00773556" w:rsidP="00A8093A">
            <w:pPr>
              <w:jc w:val="right"/>
              <w:rPr>
                <w:rFonts w:ascii="Times New Roman" w:hAnsi="Times New Roman" w:cs="Times New Roman"/>
                <w:sz w:val="20"/>
                <w:szCs w:val="20"/>
                <w:lang w:val="en-GB"/>
              </w:rPr>
            </w:pPr>
            <w:r w:rsidRPr="00D500F9">
              <w:rPr>
                <w:rFonts w:ascii="Times New Roman" w:hAnsi="Times New Roman" w:cs="Times New Roman"/>
                <w:sz w:val="20"/>
                <w:szCs w:val="20"/>
                <w:lang w:val="en-GB"/>
              </w:rPr>
              <w:t>1359 (40)</w:t>
            </w:r>
          </w:p>
        </w:tc>
        <w:tc>
          <w:tcPr>
            <w:tcW w:w="1788" w:type="dxa"/>
          </w:tcPr>
          <w:p w:rsidR="00773556" w:rsidRPr="00D500F9" w:rsidRDefault="00773556" w:rsidP="00A8093A">
            <w:pPr>
              <w:jc w:val="right"/>
              <w:rPr>
                <w:rFonts w:ascii="Times New Roman" w:hAnsi="Times New Roman" w:cs="Times New Roman"/>
                <w:sz w:val="20"/>
                <w:szCs w:val="20"/>
                <w:lang w:val="en-GB"/>
              </w:rPr>
            </w:pPr>
            <w:r w:rsidRPr="00D500F9">
              <w:rPr>
                <w:rFonts w:ascii="Times New Roman" w:hAnsi="Times New Roman" w:cs="Times New Roman"/>
                <w:sz w:val="20"/>
                <w:szCs w:val="20"/>
                <w:lang w:val="en-GB"/>
              </w:rPr>
              <w:t>1014 (50)</w:t>
            </w:r>
          </w:p>
        </w:tc>
      </w:tr>
      <w:tr w:rsidR="00773556" w:rsidRPr="00D500F9" w:rsidTr="00E45980">
        <w:trPr>
          <w:trHeight w:val="299"/>
        </w:trPr>
        <w:tc>
          <w:tcPr>
            <w:tcW w:w="1213" w:type="dxa"/>
            <w:tcBorders>
              <w:bottom w:val="single" w:sz="4" w:space="0" w:color="auto"/>
            </w:tcBorders>
          </w:tcPr>
          <w:p w:rsidR="00773556" w:rsidRPr="00DE3076" w:rsidRDefault="00773556" w:rsidP="00A8093A">
            <w:pPr>
              <w:rPr>
                <w:rFonts w:ascii="Times New Roman" w:hAnsi="Times New Roman" w:cs="Times New Roman"/>
                <w:sz w:val="20"/>
                <w:szCs w:val="20"/>
                <w:lang w:val="en-GB"/>
              </w:rPr>
            </w:pPr>
            <w:r w:rsidRPr="00DE3076">
              <w:rPr>
                <w:rFonts w:ascii="Times New Roman" w:hAnsi="Times New Roman" w:cs="Times New Roman"/>
                <w:sz w:val="20"/>
                <w:szCs w:val="20"/>
                <w:lang w:val="en-GB"/>
              </w:rPr>
              <w:t>RU3</w:t>
            </w:r>
          </w:p>
        </w:tc>
        <w:tc>
          <w:tcPr>
            <w:tcW w:w="1730" w:type="dxa"/>
            <w:tcBorders>
              <w:bottom w:val="single" w:sz="4" w:space="0" w:color="auto"/>
            </w:tcBorders>
          </w:tcPr>
          <w:p w:rsidR="00773556" w:rsidRPr="00D500F9" w:rsidRDefault="00773556" w:rsidP="00A8093A">
            <w:pPr>
              <w:jc w:val="right"/>
              <w:rPr>
                <w:rFonts w:ascii="Times New Roman" w:hAnsi="Times New Roman" w:cs="Times New Roman"/>
                <w:sz w:val="20"/>
                <w:szCs w:val="20"/>
                <w:lang w:val="en-GB"/>
              </w:rPr>
            </w:pPr>
            <w:r w:rsidRPr="00D500F9">
              <w:rPr>
                <w:rFonts w:ascii="Times New Roman" w:hAnsi="Times New Roman" w:cs="Times New Roman"/>
                <w:sz w:val="20"/>
                <w:szCs w:val="20"/>
                <w:lang w:val="en-GB"/>
              </w:rPr>
              <w:t>1531 (33)</w:t>
            </w:r>
          </w:p>
        </w:tc>
        <w:tc>
          <w:tcPr>
            <w:tcW w:w="1788" w:type="dxa"/>
            <w:tcBorders>
              <w:bottom w:val="single" w:sz="4" w:space="0" w:color="auto"/>
            </w:tcBorders>
          </w:tcPr>
          <w:p w:rsidR="00773556" w:rsidRPr="00D500F9" w:rsidRDefault="00773556" w:rsidP="00A8093A">
            <w:pPr>
              <w:jc w:val="right"/>
              <w:rPr>
                <w:rFonts w:ascii="Times New Roman" w:hAnsi="Times New Roman" w:cs="Times New Roman"/>
                <w:sz w:val="20"/>
                <w:szCs w:val="20"/>
                <w:lang w:val="en-GB"/>
              </w:rPr>
            </w:pPr>
            <w:r w:rsidRPr="00D500F9">
              <w:rPr>
                <w:rFonts w:ascii="Times New Roman" w:hAnsi="Times New Roman" w:cs="Times New Roman"/>
                <w:sz w:val="20"/>
                <w:szCs w:val="20"/>
                <w:lang w:val="en-GB"/>
              </w:rPr>
              <w:t xml:space="preserve">  921(54)</w:t>
            </w:r>
          </w:p>
        </w:tc>
      </w:tr>
    </w:tbl>
    <w:p w:rsidR="00773556" w:rsidRDefault="00773556" w:rsidP="00773556">
      <w:pPr>
        <w:rPr>
          <w:rFonts w:ascii="Times New Roman" w:hAnsi="Times New Roman" w:cs="Times New Roman"/>
          <w:lang w:val="en-GB"/>
        </w:rPr>
      </w:pPr>
    </w:p>
    <w:p w:rsidR="00773556" w:rsidRDefault="00773556" w:rsidP="00773556">
      <w:pPr>
        <w:jc w:val="both"/>
        <w:rPr>
          <w:rFonts w:ascii="Times New Roman" w:hAnsi="Times New Roman" w:cs="Times New Roman"/>
          <w:lang w:val="en-GB"/>
        </w:rPr>
      </w:pPr>
      <w:r>
        <w:rPr>
          <w:rFonts w:ascii="Times New Roman" w:hAnsi="Times New Roman" w:cs="Times New Roman"/>
          <w:lang w:val="en-GB"/>
        </w:rPr>
        <w:t xml:space="preserve">The wind power potential in each region was found using several sources. IEA (2003) has a map of wind resources in Russia, which was used to find the wind hours at the best site in each region. For RU1 and RU3 this was assessed to 3700 hours, which is the same as the best wind sites in Europe. For RU2 it was assessed to 3100 hours per year. Data for Norway adjusted by a country size factor was then used to find the parameters for each of the regions. </w:t>
      </w:r>
    </w:p>
    <w:p w:rsidR="00773556" w:rsidRPr="00DE3076" w:rsidRDefault="00E45980" w:rsidP="00773556">
      <w:pPr>
        <w:jc w:val="both"/>
        <w:rPr>
          <w:rFonts w:ascii="Times New Roman" w:hAnsi="Times New Roman" w:cs="Times New Roman"/>
          <w:sz w:val="20"/>
          <w:szCs w:val="20"/>
          <w:lang w:val="en-GB"/>
        </w:rPr>
      </w:pPr>
      <w:r>
        <w:rPr>
          <w:rFonts w:ascii="Times New Roman" w:hAnsi="Times New Roman" w:cs="Times New Roman"/>
          <w:b/>
          <w:sz w:val="20"/>
          <w:szCs w:val="20"/>
          <w:lang w:val="en-GB"/>
        </w:rPr>
        <w:br/>
      </w:r>
      <w:r w:rsidR="00773556" w:rsidRPr="00DE3076">
        <w:rPr>
          <w:rFonts w:ascii="Times New Roman" w:hAnsi="Times New Roman" w:cs="Times New Roman"/>
          <w:b/>
          <w:sz w:val="20"/>
          <w:szCs w:val="20"/>
          <w:lang w:val="en-GB"/>
        </w:rPr>
        <w:t>Table 21</w:t>
      </w:r>
      <w:r w:rsidR="00773556" w:rsidRPr="00DE3076">
        <w:rPr>
          <w:rFonts w:ascii="Times New Roman" w:hAnsi="Times New Roman" w:cs="Times New Roman"/>
          <w:sz w:val="20"/>
          <w:szCs w:val="20"/>
          <w:lang w:val="en-GB"/>
        </w:rPr>
        <w:t xml:space="preserve"> </w:t>
      </w:r>
      <w:r w:rsidR="00773556" w:rsidRPr="00DE3076">
        <w:rPr>
          <w:rFonts w:ascii="Times New Roman" w:hAnsi="Times New Roman" w:cs="Times New Roman"/>
          <w:b/>
          <w:sz w:val="20"/>
          <w:szCs w:val="20"/>
          <w:lang w:val="en-GB"/>
        </w:rPr>
        <w:t>Wind hours at best site in Russian regions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1707"/>
      </w:tblGrid>
      <w:tr w:rsidR="00773556" w:rsidTr="00E45980">
        <w:trPr>
          <w:trHeight w:val="276"/>
        </w:trPr>
        <w:tc>
          <w:tcPr>
            <w:tcW w:w="1236" w:type="dxa"/>
            <w:tcBorders>
              <w:top w:val="single" w:sz="4" w:space="0" w:color="auto"/>
              <w:bottom w:val="single" w:sz="4" w:space="0" w:color="auto"/>
            </w:tcBorders>
          </w:tcPr>
          <w:p w:rsidR="00773556" w:rsidRPr="00C25435" w:rsidRDefault="00773556" w:rsidP="00A8093A">
            <w:pPr>
              <w:jc w:val="both"/>
              <w:rPr>
                <w:rFonts w:ascii="Times New Roman" w:hAnsi="Times New Roman" w:cs="Times New Roman"/>
                <w:sz w:val="20"/>
                <w:szCs w:val="20"/>
                <w:lang w:val="en-GB"/>
              </w:rPr>
            </w:pPr>
            <w:r w:rsidRPr="00C25435">
              <w:rPr>
                <w:rFonts w:ascii="Times New Roman" w:hAnsi="Times New Roman" w:cs="Times New Roman"/>
                <w:sz w:val="20"/>
                <w:szCs w:val="20"/>
                <w:lang w:val="en-GB"/>
              </w:rPr>
              <w:t>Country</w:t>
            </w:r>
          </w:p>
        </w:tc>
        <w:tc>
          <w:tcPr>
            <w:tcW w:w="1707" w:type="dxa"/>
            <w:tcBorders>
              <w:top w:val="single" w:sz="4" w:space="0" w:color="auto"/>
              <w:bottom w:val="single" w:sz="4" w:space="0" w:color="auto"/>
            </w:tcBorders>
          </w:tcPr>
          <w:p w:rsidR="00773556" w:rsidRPr="00C25435" w:rsidRDefault="00773556" w:rsidP="00A8093A">
            <w:pPr>
              <w:jc w:val="both"/>
              <w:rPr>
                <w:rFonts w:ascii="Times New Roman" w:hAnsi="Times New Roman" w:cs="Times New Roman"/>
                <w:sz w:val="20"/>
                <w:szCs w:val="20"/>
                <w:lang w:val="en-GB"/>
              </w:rPr>
            </w:pPr>
            <w:r w:rsidRPr="00C25435">
              <w:rPr>
                <w:rFonts w:ascii="Times New Roman" w:hAnsi="Times New Roman" w:cs="Times New Roman"/>
                <w:sz w:val="20"/>
                <w:szCs w:val="20"/>
                <w:lang w:val="en-GB"/>
              </w:rPr>
              <w:t xml:space="preserve">Best </w:t>
            </w:r>
            <w:r w:rsidRPr="00DE3076">
              <w:rPr>
                <w:rFonts w:ascii="Times New Roman" w:hAnsi="Times New Roman" w:cs="Times New Roman"/>
                <w:sz w:val="20"/>
                <w:szCs w:val="20"/>
                <w:lang w:val="en-GB"/>
              </w:rPr>
              <w:t>(wind hours)</w:t>
            </w:r>
          </w:p>
        </w:tc>
      </w:tr>
      <w:tr w:rsidR="00773556" w:rsidRPr="00DE3076" w:rsidTr="00A8093A">
        <w:trPr>
          <w:trHeight w:val="264"/>
        </w:trPr>
        <w:tc>
          <w:tcPr>
            <w:tcW w:w="1236" w:type="dxa"/>
            <w:tcBorders>
              <w:top w:val="single" w:sz="4" w:space="0" w:color="auto"/>
            </w:tcBorders>
          </w:tcPr>
          <w:p w:rsidR="00773556" w:rsidRPr="00DE3076" w:rsidRDefault="00773556" w:rsidP="00A8093A">
            <w:pPr>
              <w:jc w:val="both"/>
              <w:rPr>
                <w:rFonts w:ascii="Times New Roman" w:hAnsi="Times New Roman" w:cs="Times New Roman"/>
                <w:sz w:val="20"/>
                <w:szCs w:val="20"/>
                <w:lang w:val="en-GB"/>
              </w:rPr>
            </w:pPr>
            <w:r w:rsidRPr="00DE3076">
              <w:rPr>
                <w:rFonts w:ascii="Times New Roman" w:hAnsi="Times New Roman" w:cs="Times New Roman"/>
                <w:sz w:val="20"/>
                <w:szCs w:val="20"/>
                <w:lang w:val="en-GB"/>
              </w:rPr>
              <w:t>RU1</w:t>
            </w:r>
          </w:p>
        </w:tc>
        <w:tc>
          <w:tcPr>
            <w:tcW w:w="1707" w:type="dxa"/>
            <w:tcBorders>
              <w:top w:val="single" w:sz="4" w:space="0" w:color="auto"/>
            </w:tcBorders>
          </w:tcPr>
          <w:p w:rsidR="00773556" w:rsidRPr="00DE3076" w:rsidRDefault="00773556" w:rsidP="00A8093A">
            <w:pPr>
              <w:jc w:val="right"/>
              <w:rPr>
                <w:rFonts w:ascii="Times New Roman" w:hAnsi="Times New Roman" w:cs="Times New Roman"/>
                <w:sz w:val="20"/>
                <w:szCs w:val="20"/>
                <w:lang w:val="en-GB"/>
              </w:rPr>
            </w:pPr>
            <w:r w:rsidRPr="00DE3076">
              <w:rPr>
                <w:rFonts w:ascii="Times New Roman" w:hAnsi="Times New Roman" w:cs="Times New Roman"/>
                <w:sz w:val="20"/>
                <w:szCs w:val="20"/>
                <w:lang w:val="en-GB"/>
              </w:rPr>
              <w:t>3700</w:t>
            </w:r>
          </w:p>
        </w:tc>
      </w:tr>
      <w:tr w:rsidR="00773556" w:rsidRPr="00DE3076" w:rsidTr="00E45980">
        <w:trPr>
          <w:trHeight w:val="276"/>
        </w:trPr>
        <w:tc>
          <w:tcPr>
            <w:tcW w:w="1236" w:type="dxa"/>
          </w:tcPr>
          <w:p w:rsidR="00773556" w:rsidRPr="00DE3076" w:rsidRDefault="00773556" w:rsidP="00A8093A">
            <w:pPr>
              <w:jc w:val="both"/>
              <w:rPr>
                <w:rFonts w:ascii="Times New Roman" w:hAnsi="Times New Roman" w:cs="Times New Roman"/>
                <w:sz w:val="20"/>
                <w:szCs w:val="20"/>
                <w:lang w:val="en-GB"/>
              </w:rPr>
            </w:pPr>
            <w:r w:rsidRPr="00DE3076">
              <w:rPr>
                <w:rFonts w:ascii="Times New Roman" w:hAnsi="Times New Roman" w:cs="Times New Roman"/>
                <w:sz w:val="20"/>
                <w:szCs w:val="20"/>
                <w:lang w:val="en-GB"/>
              </w:rPr>
              <w:t>RU2</w:t>
            </w:r>
          </w:p>
        </w:tc>
        <w:tc>
          <w:tcPr>
            <w:tcW w:w="1707" w:type="dxa"/>
          </w:tcPr>
          <w:p w:rsidR="00773556" w:rsidRPr="00DE3076" w:rsidRDefault="00773556" w:rsidP="00A8093A">
            <w:pPr>
              <w:jc w:val="right"/>
              <w:rPr>
                <w:rFonts w:ascii="Times New Roman" w:hAnsi="Times New Roman" w:cs="Times New Roman"/>
                <w:sz w:val="20"/>
                <w:szCs w:val="20"/>
                <w:lang w:val="en-GB"/>
              </w:rPr>
            </w:pPr>
            <w:r w:rsidRPr="00DE3076">
              <w:rPr>
                <w:rFonts w:ascii="Times New Roman" w:hAnsi="Times New Roman" w:cs="Times New Roman"/>
                <w:sz w:val="20"/>
                <w:szCs w:val="20"/>
                <w:lang w:val="en-GB"/>
              </w:rPr>
              <w:t>3100</w:t>
            </w:r>
          </w:p>
        </w:tc>
      </w:tr>
      <w:tr w:rsidR="00773556" w:rsidRPr="00DE3076" w:rsidTr="00E45980">
        <w:trPr>
          <w:trHeight w:val="289"/>
        </w:trPr>
        <w:tc>
          <w:tcPr>
            <w:tcW w:w="1236" w:type="dxa"/>
            <w:tcBorders>
              <w:bottom w:val="single" w:sz="4" w:space="0" w:color="auto"/>
            </w:tcBorders>
          </w:tcPr>
          <w:p w:rsidR="00773556" w:rsidRPr="00DE3076" w:rsidRDefault="00773556" w:rsidP="00A8093A">
            <w:pPr>
              <w:jc w:val="both"/>
              <w:rPr>
                <w:rFonts w:ascii="Times New Roman" w:hAnsi="Times New Roman" w:cs="Times New Roman"/>
                <w:sz w:val="20"/>
                <w:szCs w:val="20"/>
                <w:lang w:val="en-GB"/>
              </w:rPr>
            </w:pPr>
            <w:r w:rsidRPr="00DE3076">
              <w:rPr>
                <w:rFonts w:ascii="Times New Roman" w:hAnsi="Times New Roman" w:cs="Times New Roman"/>
                <w:sz w:val="20"/>
                <w:szCs w:val="20"/>
                <w:lang w:val="en-GB"/>
              </w:rPr>
              <w:t>RU3</w:t>
            </w:r>
          </w:p>
        </w:tc>
        <w:tc>
          <w:tcPr>
            <w:tcW w:w="1707" w:type="dxa"/>
            <w:tcBorders>
              <w:bottom w:val="single" w:sz="4" w:space="0" w:color="auto"/>
            </w:tcBorders>
          </w:tcPr>
          <w:p w:rsidR="00773556" w:rsidRPr="00DE3076" w:rsidRDefault="00773556" w:rsidP="00A8093A">
            <w:pPr>
              <w:jc w:val="right"/>
              <w:rPr>
                <w:rFonts w:ascii="Times New Roman" w:hAnsi="Times New Roman" w:cs="Times New Roman"/>
                <w:sz w:val="20"/>
                <w:szCs w:val="20"/>
                <w:lang w:val="en-GB"/>
              </w:rPr>
            </w:pPr>
            <w:r w:rsidRPr="00DE3076">
              <w:rPr>
                <w:rFonts w:ascii="Times New Roman" w:hAnsi="Times New Roman" w:cs="Times New Roman"/>
                <w:sz w:val="20"/>
                <w:szCs w:val="20"/>
                <w:lang w:val="en-GB"/>
              </w:rPr>
              <w:t>3100</w:t>
            </w:r>
          </w:p>
        </w:tc>
      </w:tr>
    </w:tbl>
    <w:p w:rsidR="00773556" w:rsidRDefault="00773556" w:rsidP="00773556">
      <w:pPr>
        <w:jc w:val="both"/>
        <w:rPr>
          <w:rFonts w:ascii="Times New Roman" w:hAnsi="Times New Roman" w:cs="Times New Roman"/>
          <w:lang w:val="en-GB"/>
        </w:rPr>
      </w:pPr>
      <w:r>
        <w:rPr>
          <w:rFonts w:ascii="Times New Roman" w:hAnsi="Times New Roman" w:cs="Times New Roman"/>
          <w:lang w:val="en-GB"/>
        </w:rPr>
        <w:t xml:space="preserve"> </w:t>
      </w:r>
    </w:p>
    <w:p w:rsidR="00773556" w:rsidRDefault="00E45980" w:rsidP="00773556">
      <w:pPr>
        <w:pStyle w:val="Heading3"/>
        <w:jc w:val="both"/>
        <w:rPr>
          <w:lang w:val="en-GB"/>
        </w:rPr>
      </w:pPr>
      <w:bookmarkStart w:id="9" w:name="_Toc386631751"/>
      <w:r>
        <w:rPr>
          <w:lang w:val="en-GB"/>
        </w:rPr>
        <w:br/>
      </w:r>
      <w:r w:rsidR="00773556">
        <w:rPr>
          <w:lang w:val="en-GB"/>
        </w:rPr>
        <w:t>3.7.9 Electricity generation</w:t>
      </w:r>
      <w:bookmarkEnd w:id="9"/>
    </w:p>
    <w:p w:rsidR="00773556" w:rsidRDefault="00773556" w:rsidP="00773556">
      <w:pPr>
        <w:jc w:val="both"/>
        <w:rPr>
          <w:rFonts w:ascii="Times New Roman" w:hAnsi="Times New Roman" w:cs="Times New Roman"/>
          <w:lang w:val="en-GB"/>
        </w:rPr>
      </w:pPr>
      <w:r>
        <w:rPr>
          <w:rFonts w:ascii="Times New Roman" w:hAnsi="Times New Roman" w:cs="Times New Roman"/>
          <w:lang w:val="en-GB"/>
        </w:rPr>
        <w:t>The same approach as for the other model countries has been used, with IEA Electricity Information as the main data source.</w:t>
      </w:r>
      <w:r w:rsidRPr="00AC6A82">
        <w:rPr>
          <w:rFonts w:ascii="Times New Roman" w:hAnsi="Times New Roman" w:cs="Times New Roman"/>
          <w:lang w:val="en-GB"/>
        </w:rPr>
        <w:t xml:space="preserve"> </w:t>
      </w:r>
      <w:r>
        <w:rPr>
          <w:rFonts w:ascii="Times New Roman" w:hAnsi="Times New Roman" w:cs="Times New Roman"/>
          <w:lang w:val="en-GB"/>
        </w:rPr>
        <w:t xml:space="preserve">To regionalise the data for electricity production APBE (2010) has been used. This publication provides production of electricity in power stations by fuel type, which allows the allocation of the use of coal, natural gas and oil to each region. For coal it is assumed that the same allocation applies for steam coal and lignite. This may cause the production shares from the different coal types to be flawed, but ensures that the total production from coal in each region is correct. For generation from biomass and waste no sources have been found, so the consumption has been allocated based on population shares. </w:t>
      </w:r>
    </w:p>
    <w:p w:rsidR="00773556" w:rsidRDefault="00773556" w:rsidP="00773556">
      <w:pPr>
        <w:jc w:val="both"/>
        <w:rPr>
          <w:rFonts w:ascii="Times New Roman" w:hAnsi="Times New Roman" w:cs="Times New Roman"/>
          <w:lang w:val="en-GB"/>
        </w:rPr>
      </w:pPr>
      <w:r>
        <w:rPr>
          <w:rFonts w:ascii="Times New Roman" w:hAnsi="Times New Roman" w:cs="Times New Roman"/>
          <w:lang w:val="en-GB"/>
        </w:rPr>
        <w:t>Heat production has been included in the data in the same way as for the other model countries, using the same conversion factors from heat to electricity. To allocate the heat produced from each fuel to each region the total for each sector from the IEA and the total for each region from APBE (2010) have been used.  To allocate the heat production between the fuels for each region the distribution of the electricity production by fuel has been used as a guideline.</w:t>
      </w:r>
      <w:r>
        <w:rPr>
          <w:rStyle w:val="FootnoteReference"/>
          <w:rFonts w:ascii="Times New Roman" w:hAnsi="Times New Roman" w:cs="Times New Roman"/>
          <w:lang w:val="en-GB"/>
        </w:rPr>
        <w:footnoteReference w:id="21"/>
      </w:r>
      <w:r>
        <w:rPr>
          <w:rFonts w:ascii="Times New Roman" w:hAnsi="Times New Roman" w:cs="Times New Roman"/>
          <w:lang w:val="en-GB"/>
        </w:rPr>
        <w:t xml:space="preserve"> This approach seems reasonable as combined heat and power plants (CHP) make up around a third of the installed generating capacity in Russia.</w:t>
      </w:r>
      <w:r>
        <w:rPr>
          <w:rStyle w:val="FootnoteReference"/>
          <w:rFonts w:ascii="Times New Roman" w:hAnsi="Times New Roman" w:cs="Times New Roman"/>
          <w:lang w:val="en-GB"/>
        </w:rPr>
        <w:footnoteReference w:id="22"/>
      </w:r>
      <w:r>
        <w:rPr>
          <w:rFonts w:ascii="Times New Roman" w:hAnsi="Times New Roman" w:cs="Times New Roman"/>
          <w:lang w:val="en-GB"/>
        </w:rPr>
        <w:t xml:space="preserve"> </w:t>
      </w:r>
    </w:p>
    <w:p w:rsidR="00773556" w:rsidRDefault="00773556" w:rsidP="00773556">
      <w:pPr>
        <w:jc w:val="both"/>
        <w:rPr>
          <w:rFonts w:ascii="Times New Roman" w:hAnsi="Times New Roman" w:cs="Times New Roman"/>
          <w:lang w:val="en-GB"/>
        </w:rPr>
      </w:pPr>
      <w:r w:rsidRPr="00B32B61">
        <w:rPr>
          <w:rFonts w:ascii="Times New Roman" w:hAnsi="Times New Roman" w:cs="Times New Roman"/>
          <w:lang w:val="en-GB"/>
        </w:rPr>
        <w:lastRenderedPageBreak/>
        <w:t>SO (2011)</w:t>
      </w:r>
      <w:r>
        <w:rPr>
          <w:rFonts w:ascii="Times New Roman" w:hAnsi="Times New Roman" w:cs="Times New Roman"/>
          <w:lang w:val="en-GB"/>
        </w:rPr>
        <w:t xml:space="preserve"> reports capacity data for hydro, nuclear and thermal power plants for the seven federal districts. Knowing only the total capacity for coal, natural gas and oil in each region more detailed power plant data for Russia was used to split each region’s capacity into fuel type. </w:t>
      </w:r>
      <w:proofErr w:type="spellStart"/>
      <w:r>
        <w:rPr>
          <w:rFonts w:ascii="Times New Roman" w:hAnsi="Times New Roman" w:cs="Times New Roman"/>
          <w:lang w:val="en-GB"/>
        </w:rPr>
        <w:t>GeoHive</w:t>
      </w:r>
      <w:proofErr w:type="spellEnd"/>
      <w:r>
        <w:rPr>
          <w:rFonts w:ascii="Times New Roman" w:hAnsi="Times New Roman" w:cs="Times New Roman"/>
          <w:lang w:val="en-GB"/>
        </w:rPr>
        <w:t xml:space="preserve"> and </w:t>
      </w:r>
      <w:proofErr w:type="spellStart"/>
      <w:r>
        <w:rPr>
          <w:rFonts w:ascii="Times New Roman" w:hAnsi="Times New Roman" w:cs="Times New Roman"/>
          <w:lang w:val="en-GB"/>
        </w:rPr>
        <w:t>Enipedia</w:t>
      </w:r>
      <w:proofErr w:type="spellEnd"/>
      <w:r>
        <w:rPr>
          <w:rFonts w:ascii="Times New Roman" w:hAnsi="Times New Roman" w:cs="Times New Roman"/>
          <w:lang w:val="en-GB"/>
        </w:rPr>
        <w:t xml:space="preserve"> have information about single plants with their location and capacity. This has made it possible to allocate plants to each region. However, the many multi-fuelled power plants are complicating the picture. Where power plants operate on several fuels they have been allocated according to their primary fuel type. For hydropower the total for each LIBEMOD-region is allocated to reservoir capacity, apart from in RU1. </w:t>
      </w:r>
      <w:proofErr w:type="spellStart"/>
      <w:r>
        <w:rPr>
          <w:rFonts w:ascii="Times New Roman" w:hAnsi="Times New Roman" w:cs="Times New Roman"/>
          <w:lang w:val="en-GB"/>
        </w:rPr>
        <w:t>RusHydro</w:t>
      </w:r>
      <w:proofErr w:type="spellEnd"/>
      <w:r>
        <w:rPr>
          <w:rFonts w:ascii="Times New Roman" w:hAnsi="Times New Roman" w:cs="Times New Roman"/>
          <w:lang w:val="en-GB"/>
        </w:rPr>
        <w:t xml:space="preserve"> Annual Report for 2009 has information about a pumped storage power plant located in RU1 and its capacity, which is then deducted from the total hydro capacity given by SO UPS (2011). It is assumed that there is no run-of-river capacity in the base year. The nuclear capacities can be allocated directly to the regions, whereas for the thermal power capacities other sources have been used. </w:t>
      </w:r>
    </w:p>
    <w:p w:rsidR="00773556" w:rsidRDefault="00E45980" w:rsidP="00773556">
      <w:pPr>
        <w:pStyle w:val="Heading3"/>
        <w:jc w:val="both"/>
        <w:rPr>
          <w:lang w:val="en-GB"/>
        </w:rPr>
      </w:pPr>
      <w:bookmarkStart w:id="10" w:name="_Toc386631752"/>
      <w:r>
        <w:rPr>
          <w:lang w:val="en-GB"/>
        </w:rPr>
        <w:br/>
      </w:r>
      <w:r w:rsidR="00773556">
        <w:rPr>
          <w:lang w:val="en-GB"/>
        </w:rPr>
        <w:t>3.7.10 Transportation of natural gas</w:t>
      </w:r>
      <w:bookmarkEnd w:id="10"/>
      <w:r w:rsidR="00773556">
        <w:rPr>
          <w:lang w:val="en-GB"/>
        </w:rPr>
        <w:t xml:space="preserve"> </w:t>
      </w:r>
    </w:p>
    <w:p w:rsidR="00773556" w:rsidRDefault="00773556" w:rsidP="00773556">
      <w:pPr>
        <w:jc w:val="both"/>
        <w:rPr>
          <w:rFonts w:ascii="Times New Roman" w:hAnsi="Times New Roman" w:cs="Times New Roman"/>
          <w:lang w:val="en-GB"/>
        </w:rPr>
      </w:pPr>
      <w:r w:rsidRPr="00085FA6">
        <w:rPr>
          <w:rFonts w:ascii="Times New Roman" w:hAnsi="Times New Roman" w:cs="Times New Roman"/>
          <w:lang w:val="en-GB"/>
        </w:rPr>
        <w:t xml:space="preserve">ENTSOG and East European Gas Analysis (EEG) </w:t>
      </w:r>
      <w:r>
        <w:rPr>
          <w:rFonts w:ascii="Times New Roman" w:hAnsi="Times New Roman" w:cs="Times New Roman"/>
          <w:lang w:val="en-GB"/>
        </w:rPr>
        <w:t>have</w:t>
      </w:r>
      <w:r w:rsidRPr="00085FA6">
        <w:rPr>
          <w:rFonts w:ascii="Times New Roman" w:hAnsi="Times New Roman" w:cs="Times New Roman"/>
          <w:lang w:val="en-GB"/>
        </w:rPr>
        <w:t xml:space="preserve"> capacities for the export pipelines </w:t>
      </w:r>
      <w:r>
        <w:rPr>
          <w:rFonts w:ascii="Times New Roman" w:hAnsi="Times New Roman" w:cs="Times New Roman"/>
          <w:lang w:val="en-GB"/>
        </w:rPr>
        <w:t xml:space="preserve">that run </w:t>
      </w:r>
      <w:r w:rsidRPr="00085FA6">
        <w:rPr>
          <w:rFonts w:ascii="Times New Roman" w:hAnsi="Times New Roman" w:cs="Times New Roman"/>
          <w:lang w:val="en-GB"/>
        </w:rPr>
        <w:t xml:space="preserve">from Russia into Europe. The largest Russian natural gas fields that are currently connected by pipeline are located in the </w:t>
      </w:r>
      <w:proofErr w:type="spellStart"/>
      <w:r w:rsidRPr="00085FA6">
        <w:rPr>
          <w:rFonts w:ascii="Times New Roman" w:hAnsi="Times New Roman" w:cs="Times New Roman"/>
          <w:lang w:val="en-GB"/>
        </w:rPr>
        <w:t>Yamal</w:t>
      </w:r>
      <w:proofErr w:type="spellEnd"/>
      <w:r w:rsidRPr="00085FA6">
        <w:rPr>
          <w:rFonts w:ascii="Times New Roman" w:hAnsi="Times New Roman" w:cs="Times New Roman"/>
          <w:lang w:val="en-GB"/>
        </w:rPr>
        <w:t>-Nenets region. This is situated in the Ural Federal District, which is in RU2 in the model. Several of the main pipelines connect this area with the western part of Russia and Europe. Through using several maps of the Russian gas pipeline network (EEGA,</w:t>
      </w:r>
      <w:r w:rsidRPr="00085FA6">
        <w:rPr>
          <w:rStyle w:val="FootnoteReference"/>
          <w:rFonts w:ascii="Times New Roman" w:hAnsi="Times New Roman" w:cs="Times New Roman"/>
          <w:lang w:val="en-GB"/>
        </w:rPr>
        <w:footnoteReference w:id="23"/>
      </w:r>
      <w:r w:rsidRPr="00085FA6">
        <w:rPr>
          <w:rFonts w:ascii="Times New Roman" w:hAnsi="Times New Roman" w:cs="Times New Roman"/>
          <w:lang w:val="en-GB"/>
        </w:rPr>
        <w:t xml:space="preserve"> Petroleum Economist 2011), and an overview of existing infrastructure (</w:t>
      </w:r>
      <w:proofErr w:type="spellStart"/>
      <w:r w:rsidRPr="00085FA6">
        <w:rPr>
          <w:rFonts w:ascii="Times New Roman" w:hAnsi="Times New Roman" w:cs="Times New Roman"/>
          <w:lang w:val="en-GB"/>
        </w:rPr>
        <w:t>Nies</w:t>
      </w:r>
      <w:proofErr w:type="spellEnd"/>
      <w:r w:rsidRPr="00085FA6">
        <w:rPr>
          <w:rFonts w:ascii="Times New Roman" w:hAnsi="Times New Roman" w:cs="Times New Roman"/>
          <w:lang w:val="en-GB"/>
        </w:rPr>
        <w:t xml:space="preserve"> 2011), a set of capacities between the three Russian regions </w:t>
      </w:r>
      <w:r>
        <w:rPr>
          <w:rFonts w:ascii="Times New Roman" w:hAnsi="Times New Roman" w:cs="Times New Roman"/>
          <w:lang w:val="en-GB"/>
        </w:rPr>
        <w:t>have been created</w:t>
      </w:r>
      <w:r w:rsidRPr="00085FA6">
        <w:rPr>
          <w:rFonts w:ascii="Times New Roman" w:hAnsi="Times New Roman" w:cs="Times New Roman"/>
          <w:lang w:val="en-GB"/>
        </w:rPr>
        <w:t xml:space="preserve">. </w:t>
      </w:r>
    </w:p>
    <w:p w:rsidR="00773556" w:rsidRPr="0076187D" w:rsidRDefault="00773556" w:rsidP="00773556">
      <w:pPr>
        <w:rPr>
          <w:rFonts w:ascii="Times New Roman" w:hAnsi="Times New Roman" w:cs="Times New Roman"/>
          <w:b/>
          <w:sz w:val="20"/>
          <w:szCs w:val="20"/>
          <w:lang w:val="en-GB"/>
        </w:rPr>
      </w:pPr>
      <w:r w:rsidRPr="0076187D">
        <w:rPr>
          <w:rFonts w:ascii="Times New Roman" w:hAnsi="Times New Roman" w:cs="Times New Roman"/>
          <w:b/>
          <w:sz w:val="20"/>
          <w:szCs w:val="20"/>
          <w:lang w:val="en-GB"/>
        </w:rPr>
        <w:t xml:space="preserve">Figure </w:t>
      </w:r>
      <w:r>
        <w:rPr>
          <w:rFonts w:ascii="Times New Roman" w:hAnsi="Times New Roman" w:cs="Times New Roman"/>
          <w:b/>
          <w:sz w:val="20"/>
          <w:szCs w:val="20"/>
          <w:lang w:val="en-GB"/>
        </w:rPr>
        <w:t>7</w:t>
      </w:r>
      <w:r w:rsidRPr="0076187D">
        <w:rPr>
          <w:rFonts w:ascii="Times New Roman" w:hAnsi="Times New Roman" w:cs="Times New Roman"/>
          <w:b/>
          <w:sz w:val="20"/>
          <w:szCs w:val="20"/>
          <w:lang w:val="en-GB"/>
        </w:rPr>
        <w:t>: Map of the natural gas pipelines of Russia</w:t>
      </w:r>
    </w:p>
    <w:p w:rsidR="00773556" w:rsidRPr="00085FA6" w:rsidRDefault="00773556" w:rsidP="00773556">
      <w:pPr>
        <w:rPr>
          <w:rFonts w:ascii="Times New Roman" w:hAnsi="Times New Roman" w:cs="Times New Roman"/>
          <w:lang w:val="en-GB"/>
        </w:rPr>
      </w:pPr>
      <w:r w:rsidRPr="00085FA6">
        <w:rPr>
          <w:rFonts w:ascii="Times New Roman" w:hAnsi="Times New Roman" w:cs="Times New Roman"/>
          <w:noProof/>
        </w:rPr>
        <w:drawing>
          <wp:inline distT="0" distB="0" distL="0" distR="0" wp14:anchorId="59A8C1ED" wp14:editId="3A249683">
            <wp:extent cx="5208422" cy="3929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ia_Gas_Pipelines_EEGA.png"/>
                    <pic:cNvPicPr/>
                  </pic:nvPicPr>
                  <pic:blipFill>
                    <a:blip r:embed="rId13">
                      <a:extLst>
                        <a:ext uri="{28A0092B-C50C-407E-A947-70E740481C1C}">
                          <a14:useLocalDpi xmlns:a14="http://schemas.microsoft.com/office/drawing/2010/main" val="0"/>
                        </a:ext>
                      </a:extLst>
                    </a:blip>
                    <a:stretch>
                      <a:fillRect/>
                    </a:stretch>
                  </pic:blipFill>
                  <pic:spPr>
                    <a:xfrm>
                      <a:off x="0" y="0"/>
                      <a:ext cx="5208979" cy="3930374"/>
                    </a:xfrm>
                    <a:prstGeom prst="rect">
                      <a:avLst/>
                    </a:prstGeom>
                  </pic:spPr>
                </pic:pic>
              </a:graphicData>
            </a:graphic>
          </wp:inline>
        </w:drawing>
      </w:r>
    </w:p>
    <w:p w:rsidR="00773556" w:rsidRPr="004E5C96" w:rsidRDefault="00773556" w:rsidP="00773556">
      <w:pPr>
        <w:rPr>
          <w:rFonts w:ascii="Times New Roman" w:hAnsi="Times New Roman" w:cs="Times New Roman"/>
          <w:i/>
          <w:sz w:val="20"/>
          <w:szCs w:val="20"/>
          <w:lang w:val="en-GB"/>
        </w:rPr>
      </w:pPr>
      <w:r w:rsidRPr="004E5C96">
        <w:rPr>
          <w:rFonts w:ascii="Times New Roman" w:hAnsi="Times New Roman" w:cs="Times New Roman"/>
          <w:i/>
          <w:sz w:val="20"/>
          <w:szCs w:val="20"/>
          <w:lang w:val="en-GB"/>
        </w:rPr>
        <w:t xml:space="preserve">Source: East European Gas Analysis </w:t>
      </w:r>
      <w:hyperlink r:id="rId14" w:history="1">
        <w:r w:rsidRPr="004E5C96">
          <w:rPr>
            <w:rStyle w:val="Hyperlink"/>
            <w:rFonts w:ascii="Times New Roman" w:hAnsi="Times New Roman" w:cs="Times New Roman"/>
            <w:i/>
            <w:color w:val="auto"/>
            <w:sz w:val="20"/>
            <w:szCs w:val="20"/>
            <w:lang w:val="en-GB"/>
          </w:rPr>
          <w:t>http://www.eegas.com/fsu.htm</w:t>
        </w:r>
      </w:hyperlink>
      <w:r w:rsidRPr="004E5C96">
        <w:rPr>
          <w:rFonts w:ascii="Times New Roman" w:hAnsi="Times New Roman" w:cs="Times New Roman"/>
          <w:i/>
          <w:sz w:val="20"/>
          <w:szCs w:val="20"/>
          <w:lang w:val="en-US"/>
        </w:rPr>
        <w:t>.</w:t>
      </w:r>
      <w:r w:rsidRPr="004E5C96">
        <w:rPr>
          <w:rFonts w:ascii="Times New Roman" w:hAnsi="Times New Roman" w:cs="Times New Roman"/>
          <w:i/>
          <w:sz w:val="20"/>
          <w:szCs w:val="20"/>
          <w:lang w:val="en-GB"/>
        </w:rPr>
        <w:t xml:space="preserve"> </w:t>
      </w:r>
      <w:r>
        <w:rPr>
          <w:rFonts w:ascii="Times New Roman" w:hAnsi="Times New Roman" w:cs="Times New Roman"/>
          <w:i/>
          <w:sz w:val="20"/>
          <w:szCs w:val="20"/>
          <w:lang w:val="en-GB"/>
        </w:rPr>
        <w:br/>
      </w:r>
    </w:p>
    <w:p w:rsidR="00773556" w:rsidRDefault="00773556" w:rsidP="00773556">
      <w:pPr>
        <w:jc w:val="both"/>
        <w:rPr>
          <w:rFonts w:ascii="Times New Roman" w:eastAsia="Times New Roman" w:hAnsi="Times New Roman" w:cs="Times New Roman"/>
          <w:lang w:val="en-US"/>
        </w:rPr>
      </w:pPr>
      <w:r>
        <w:rPr>
          <w:rFonts w:ascii="Times New Roman" w:eastAsia="Times New Roman" w:hAnsi="Times New Roman" w:cs="Times New Roman"/>
          <w:lang w:val="en-US"/>
        </w:rPr>
        <w:t>All export towards Europe goes through RU1, i.e. the export</w:t>
      </w:r>
      <w:r w:rsidRPr="00085FA6">
        <w:rPr>
          <w:rFonts w:ascii="Times New Roman" w:eastAsia="Times New Roman" w:hAnsi="Times New Roman" w:cs="Times New Roman"/>
          <w:lang w:val="en-US"/>
        </w:rPr>
        <w:t xml:space="preserve"> capacities between the European countries and Russia are </w:t>
      </w:r>
      <w:r>
        <w:rPr>
          <w:rFonts w:ascii="Times New Roman" w:eastAsia="Times New Roman" w:hAnsi="Times New Roman" w:cs="Times New Roman"/>
          <w:lang w:val="en-US"/>
        </w:rPr>
        <w:t>used</w:t>
      </w:r>
      <w:r w:rsidRPr="00085FA6">
        <w:rPr>
          <w:rFonts w:ascii="Times New Roman" w:eastAsia="Times New Roman" w:hAnsi="Times New Roman" w:cs="Times New Roman"/>
          <w:lang w:val="en-US"/>
        </w:rPr>
        <w:t xml:space="preserve">. </w:t>
      </w:r>
      <w:r>
        <w:rPr>
          <w:rFonts w:ascii="Times New Roman" w:eastAsia="Times New Roman" w:hAnsi="Times New Roman" w:cs="Times New Roman"/>
          <w:lang w:val="en-US"/>
        </w:rPr>
        <w:t>The capacity between RU</w:t>
      </w:r>
      <w:r w:rsidRPr="00085FA6">
        <w:rPr>
          <w:rFonts w:ascii="Times New Roman" w:eastAsia="Times New Roman" w:hAnsi="Times New Roman" w:cs="Times New Roman"/>
          <w:lang w:val="en-US"/>
        </w:rPr>
        <w:t xml:space="preserve">2 and </w:t>
      </w:r>
      <w:r>
        <w:rPr>
          <w:rFonts w:ascii="Times New Roman" w:eastAsia="Times New Roman" w:hAnsi="Times New Roman" w:cs="Times New Roman"/>
          <w:lang w:val="en-US"/>
        </w:rPr>
        <w:t>RU</w:t>
      </w:r>
      <w:r w:rsidRPr="00085FA6">
        <w:rPr>
          <w:rFonts w:ascii="Times New Roman" w:eastAsia="Times New Roman" w:hAnsi="Times New Roman" w:cs="Times New Roman"/>
          <w:lang w:val="en-US"/>
        </w:rPr>
        <w:t xml:space="preserve">1 </w:t>
      </w:r>
      <w:r>
        <w:rPr>
          <w:rFonts w:ascii="Times New Roman" w:eastAsia="Times New Roman" w:hAnsi="Times New Roman" w:cs="Times New Roman"/>
          <w:lang w:val="en-US"/>
        </w:rPr>
        <w:t xml:space="preserve">is </w:t>
      </w:r>
      <w:r w:rsidRPr="00085FA6">
        <w:rPr>
          <w:rFonts w:ascii="Times New Roman" w:eastAsia="Times New Roman" w:hAnsi="Times New Roman" w:cs="Times New Roman"/>
          <w:lang w:val="en-US"/>
        </w:rPr>
        <w:t>assume</w:t>
      </w:r>
      <w:r>
        <w:rPr>
          <w:rFonts w:ascii="Times New Roman" w:eastAsia="Times New Roman" w:hAnsi="Times New Roman" w:cs="Times New Roman"/>
          <w:lang w:val="en-US"/>
        </w:rPr>
        <w:t>d</w:t>
      </w:r>
      <w:r w:rsidRPr="00085FA6">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to be larger than the export capacity as the pipelines are also used for domestic transport of gas. </w:t>
      </w:r>
      <w:r w:rsidRPr="00085FA6">
        <w:rPr>
          <w:rFonts w:ascii="Times New Roman" w:eastAsia="Times New Roman" w:hAnsi="Times New Roman" w:cs="Times New Roman"/>
          <w:lang w:val="en-US"/>
        </w:rPr>
        <w:t xml:space="preserve">Based on the pipeline maps some capacity </w:t>
      </w:r>
      <w:r>
        <w:rPr>
          <w:rFonts w:ascii="Times New Roman" w:eastAsia="Times New Roman" w:hAnsi="Times New Roman" w:cs="Times New Roman"/>
          <w:lang w:val="en-US"/>
        </w:rPr>
        <w:t xml:space="preserve">is added </w:t>
      </w:r>
      <w:r w:rsidRPr="00085FA6">
        <w:rPr>
          <w:rFonts w:ascii="Times New Roman" w:eastAsia="Times New Roman" w:hAnsi="Times New Roman" w:cs="Times New Roman"/>
          <w:lang w:val="en-US"/>
        </w:rPr>
        <w:t xml:space="preserve">between </w:t>
      </w:r>
      <w:r>
        <w:rPr>
          <w:rFonts w:ascii="Times New Roman" w:eastAsia="Times New Roman" w:hAnsi="Times New Roman" w:cs="Times New Roman"/>
          <w:lang w:val="en-US"/>
        </w:rPr>
        <w:t>RU2 and RU</w:t>
      </w:r>
      <w:r w:rsidRPr="00085FA6">
        <w:rPr>
          <w:rFonts w:ascii="Times New Roman" w:eastAsia="Times New Roman" w:hAnsi="Times New Roman" w:cs="Times New Roman"/>
          <w:lang w:val="en-US"/>
        </w:rPr>
        <w:t xml:space="preserve">3 (from Surgut and Tyumen into Western Siberia). </w:t>
      </w:r>
      <w:r>
        <w:rPr>
          <w:rFonts w:ascii="Times New Roman" w:eastAsia="Times New Roman" w:hAnsi="Times New Roman" w:cs="Times New Roman"/>
          <w:lang w:val="en-US"/>
        </w:rPr>
        <w:t>It is</w:t>
      </w:r>
      <w:r w:rsidRPr="00085FA6">
        <w:rPr>
          <w:rFonts w:ascii="Times New Roman" w:eastAsia="Times New Roman" w:hAnsi="Times New Roman" w:cs="Times New Roman"/>
          <w:lang w:val="en-US"/>
        </w:rPr>
        <w:t xml:space="preserve"> also assume</w:t>
      </w:r>
      <w:r>
        <w:rPr>
          <w:rFonts w:ascii="Times New Roman" w:eastAsia="Times New Roman" w:hAnsi="Times New Roman" w:cs="Times New Roman"/>
          <w:lang w:val="en-US"/>
        </w:rPr>
        <w:t>d</w:t>
      </w:r>
      <w:r w:rsidRPr="00085FA6">
        <w:rPr>
          <w:rFonts w:ascii="Times New Roman" w:eastAsia="Times New Roman" w:hAnsi="Times New Roman" w:cs="Times New Roman"/>
          <w:lang w:val="en-US"/>
        </w:rPr>
        <w:t xml:space="preserve"> that </w:t>
      </w:r>
      <w:r>
        <w:rPr>
          <w:rFonts w:ascii="Times New Roman" w:eastAsia="Times New Roman" w:hAnsi="Times New Roman" w:cs="Times New Roman"/>
          <w:lang w:val="en-US"/>
        </w:rPr>
        <w:t>RU</w:t>
      </w:r>
      <w:r w:rsidRPr="00085FA6">
        <w:rPr>
          <w:rFonts w:ascii="Times New Roman" w:eastAsia="Times New Roman" w:hAnsi="Times New Roman" w:cs="Times New Roman"/>
          <w:lang w:val="en-US"/>
        </w:rPr>
        <w:t>3 has some capacity towards the rest o</w:t>
      </w:r>
      <w:r>
        <w:rPr>
          <w:rFonts w:ascii="Times New Roman" w:eastAsia="Times New Roman" w:hAnsi="Times New Roman" w:cs="Times New Roman"/>
          <w:lang w:val="en-US"/>
        </w:rPr>
        <w:t>f the world (row), although</w:t>
      </w:r>
      <w:r w:rsidRPr="00085FA6">
        <w:rPr>
          <w:rFonts w:ascii="Times New Roman" w:eastAsia="Times New Roman" w:hAnsi="Times New Roman" w:cs="Times New Roman"/>
          <w:lang w:val="en-US"/>
        </w:rPr>
        <w:t xml:space="preserve"> this is currently only from the gas fields in the eastern parts of the Far East. This is based on data from </w:t>
      </w:r>
      <w:r w:rsidRPr="00085FA6">
        <w:rPr>
          <w:rFonts w:ascii="Times New Roman" w:eastAsia="Times New Roman" w:hAnsi="Times New Roman" w:cs="Times New Roman"/>
          <w:lang w:val="en-US"/>
        </w:rPr>
        <w:lastRenderedPageBreak/>
        <w:t>ENTSOG.</w:t>
      </w:r>
      <w:r>
        <w:rPr>
          <w:rFonts w:ascii="Times New Roman" w:eastAsia="Times New Roman" w:hAnsi="Times New Roman" w:cs="Times New Roman"/>
          <w:lang w:val="en-US"/>
        </w:rPr>
        <w:br/>
      </w:r>
    </w:p>
    <w:p w:rsidR="00773556" w:rsidRPr="00DE3076" w:rsidRDefault="00773556" w:rsidP="00773556">
      <w:pPr>
        <w:rPr>
          <w:rFonts w:ascii="Times New Roman" w:hAnsi="Times New Roman" w:cs="Times New Roman"/>
          <w:b/>
          <w:sz w:val="20"/>
          <w:szCs w:val="20"/>
          <w:lang w:val="en-US"/>
        </w:rPr>
      </w:pPr>
      <w:r w:rsidRPr="00DE3076">
        <w:rPr>
          <w:rFonts w:ascii="Times New Roman" w:hAnsi="Times New Roman" w:cs="Times New Roman"/>
          <w:b/>
          <w:sz w:val="20"/>
          <w:szCs w:val="20"/>
          <w:lang w:val="en-US"/>
        </w:rPr>
        <w:t>Table 22: Initial international transmission capacities for gas (</w:t>
      </w:r>
      <w:proofErr w:type="spellStart"/>
      <w:r w:rsidRPr="00DE3076">
        <w:rPr>
          <w:rFonts w:ascii="Times New Roman" w:hAnsi="Times New Roman" w:cs="Times New Roman"/>
          <w:b/>
          <w:sz w:val="20"/>
          <w:szCs w:val="20"/>
          <w:lang w:val="en-US"/>
        </w:rPr>
        <w:t>Mtoe</w:t>
      </w:r>
      <w:proofErr w:type="spellEnd"/>
      <w:r w:rsidRPr="00DE3076">
        <w:rPr>
          <w:rFonts w:ascii="Times New Roman" w:hAnsi="Times New Roman" w:cs="Times New Roman"/>
          <w:b/>
          <w:sz w:val="20"/>
          <w:szCs w:val="20"/>
          <w:lang w:val="en-US"/>
        </w:rPr>
        <w:t>)</w:t>
      </w:r>
    </w:p>
    <w:tbl>
      <w:tblPr>
        <w:tblW w:w="5969" w:type="dxa"/>
        <w:tblInd w:w="55" w:type="dxa"/>
        <w:tblCellMar>
          <w:left w:w="70" w:type="dxa"/>
          <w:right w:w="70" w:type="dxa"/>
        </w:tblCellMar>
        <w:tblLook w:val="04A0" w:firstRow="1" w:lastRow="0" w:firstColumn="1" w:lastColumn="0" w:noHBand="0" w:noVBand="1"/>
      </w:tblPr>
      <w:tblGrid>
        <w:gridCol w:w="866"/>
        <w:gridCol w:w="850"/>
        <w:gridCol w:w="709"/>
        <w:gridCol w:w="709"/>
        <w:gridCol w:w="709"/>
        <w:gridCol w:w="708"/>
        <w:gridCol w:w="709"/>
        <w:gridCol w:w="709"/>
      </w:tblGrid>
      <w:tr w:rsidR="00773556" w:rsidRPr="00C42C69" w:rsidTr="00A8093A">
        <w:trPr>
          <w:trHeight w:val="300"/>
        </w:trPr>
        <w:tc>
          <w:tcPr>
            <w:tcW w:w="866" w:type="dxa"/>
            <w:tcBorders>
              <w:top w:val="nil"/>
              <w:left w:val="nil"/>
              <w:bottom w:val="single" w:sz="4" w:space="0" w:color="auto"/>
              <w:right w:val="single" w:sz="4" w:space="0" w:color="auto"/>
            </w:tcBorders>
            <w:shd w:val="clear" w:color="auto" w:fill="auto"/>
            <w:noWrap/>
            <w:vAlign w:val="bottom"/>
            <w:hideMark/>
          </w:tcPr>
          <w:p w:rsidR="00773556" w:rsidRPr="00C42C69" w:rsidRDefault="00773556" w:rsidP="00A8093A">
            <w:pPr>
              <w:spacing w:after="0" w:line="240" w:lineRule="auto"/>
              <w:rPr>
                <w:rFonts w:ascii="Times New Roman" w:eastAsia="Times New Roman" w:hAnsi="Times New Roman" w:cs="Times New Roman"/>
                <w:color w:val="000000"/>
                <w:sz w:val="16"/>
                <w:szCs w:val="16"/>
                <w:lang w:val="en-US"/>
              </w:rPr>
            </w:pPr>
            <w:r w:rsidRPr="00C42C69">
              <w:rPr>
                <w:rFonts w:ascii="Times New Roman" w:eastAsia="Times New Roman" w:hAnsi="Times New Roman" w:cs="Times New Roman"/>
                <w:color w:val="000000"/>
                <w:sz w:val="16"/>
                <w:szCs w:val="16"/>
                <w:lang w:val="en-US"/>
              </w:rPr>
              <w:t xml:space="preserve">         </w:t>
            </w:r>
            <w:r>
              <w:rPr>
                <w:rFonts w:ascii="Times New Roman" w:eastAsia="Times New Roman" w:hAnsi="Times New Roman" w:cs="Times New Roman"/>
                <w:color w:val="000000"/>
                <w:sz w:val="16"/>
                <w:szCs w:val="16"/>
                <w:lang w:val="en-US"/>
              </w:rPr>
              <w:t xml:space="preserve">   </w:t>
            </w:r>
            <w:r w:rsidRPr="00C42C69">
              <w:rPr>
                <w:rFonts w:ascii="Times New Roman" w:eastAsia="Times New Roman" w:hAnsi="Times New Roman" w:cs="Times New Roman"/>
                <w:color w:val="000000"/>
                <w:sz w:val="16"/>
                <w:szCs w:val="16"/>
                <w:lang w:val="en-US"/>
              </w:rPr>
              <w:t>To  From</w:t>
            </w:r>
          </w:p>
        </w:tc>
        <w:tc>
          <w:tcPr>
            <w:tcW w:w="850" w:type="dxa"/>
            <w:tcBorders>
              <w:top w:val="nil"/>
              <w:left w:val="single" w:sz="4" w:space="0" w:color="auto"/>
              <w:bottom w:val="single" w:sz="4" w:space="0" w:color="auto"/>
              <w:right w:val="nil"/>
            </w:tcBorders>
            <w:shd w:val="clear" w:color="auto" w:fill="auto"/>
            <w:noWrap/>
            <w:vAlign w:val="bottom"/>
            <w:hideMark/>
          </w:tcPr>
          <w:p w:rsidR="00773556" w:rsidRPr="00C42C69" w:rsidRDefault="00773556" w:rsidP="00A8093A">
            <w:pPr>
              <w:spacing w:after="0" w:line="240" w:lineRule="auto"/>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EU30</w:t>
            </w:r>
          </w:p>
        </w:tc>
        <w:tc>
          <w:tcPr>
            <w:tcW w:w="709" w:type="dxa"/>
            <w:tcBorders>
              <w:top w:val="nil"/>
              <w:left w:val="nil"/>
              <w:bottom w:val="single" w:sz="4" w:space="0" w:color="auto"/>
              <w:right w:val="nil"/>
            </w:tcBorders>
            <w:shd w:val="clear" w:color="auto" w:fill="auto"/>
            <w:noWrap/>
            <w:vAlign w:val="bottom"/>
            <w:hideMark/>
          </w:tcPr>
          <w:p w:rsidR="00773556" w:rsidRPr="00C42C69" w:rsidRDefault="00773556" w:rsidP="00A8093A">
            <w:pPr>
              <w:spacing w:after="0" w:line="240" w:lineRule="auto"/>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BY</w:t>
            </w:r>
          </w:p>
        </w:tc>
        <w:tc>
          <w:tcPr>
            <w:tcW w:w="709" w:type="dxa"/>
            <w:tcBorders>
              <w:top w:val="nil"/>
              <w:left w:val="nil"/>
              <w:bottom w:val="single" w:sz="4" w:space="0" w:color="auto"/>
              <w:right w:val="nil"/>
            </w:tcBorders>
            <w:shd w:val="clear" w:color="auto" w:fill="auto"/>
            <w:noWrap/>
            <w:vAlign w:val="bottom"/>
            <w:hideMark/>
          </w:tcPr>
          <w:p w:rsidR="00773556" w:rsidRPr="00C42C69" w:rsidRDefault="00773556" w:rsidP="00A8093A">
            <w:pPr>
              <w:spacing w:after="0" w:line="240" w:lineRule="auto"/>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UA</w:t>
            </w:r>
          </w:p>
        </w:tc>
        <w:tc>
          <w:tcPr>
            <w:tcW w:w="709" w:type="dxa"/>
            <w:tcBorders>
              <w:top w:val="nil"/>
              <w:left w:val="nil"/>
              <w:bottom w:val="single" w:sz="4" w:space="0" w:color="auto"/>
              <w:right w:val="nil"/>
            </w:tcBorders>
            <w:shd w:val="clear" w:color="auto" w:fill="auto"/>
            <w:noWrap/>
            <w:vAlign w:val="bottom"/>
            <w:hideMark/>
          </w:tcPr>
          <w:p w:rsidR="00773556" w:rsidRPr="00C42C69" w:rsidRDefault="00773556" w:rsidP="00A8093A">
            <w:pPr>
              <w:spacing w:after="0" w:line="240" w:lineRule="auto"/>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ROW</w:t>
            </w:r>
          </w:p>
        </w:tc>
        <w:tc>
          <w:tcPr>
            <w:tcW w:w="708" w:type="dxa"/>
            <w:tcBorders>
              <w:top w:val="nil"/>
              <w:left w:val="nil"/>
              <w:bottom w:val="single" w:sz="4" w:space="0" w:color="auto"/>
              <w:right w:val="nil"/>
            </w:tcBorders>
            <w:shd w:val="clear" w:color="auto" w:fill="auto"/>
            <w:noWrap/>
            <w:vAlign w:val="bottom"/>
            <w:hideMark/>
          </w:tcPr>
          <w:p w:rsidR="00773556" w:rsidRPr="00C42C69" w:rsidRDefault="00773556" w:rsidP="00A8093A">
            <w:pPr>
              <w:spacing w:after="0" w:line="240" w:lineRule="auto"/>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RU1</w:t>
            </w:r>
          </w:p>
        </w:tc>
        <w:tc>
          <w:tcPr>
            <w:tcW w:w="709" w:type="dxa"/>
            <w:tcBorders>
              <w:top w:val="nil"/>
              <w:left w:val="nil"/>
              <w:bottom w:val="single" w:sz="4" w:space="0" w:color="auto"/>
              <w:right w:val="nil"/>
            </w:tcBorders>
            <w:shd w:val="clear" w:color="auto" w:fill="auto"/>
            <w:noWrap/>
            <w:vAlign w:val="bottom"/>
            <w:hideMark/>
          </w:tcPr>
          <w:p w:rsidR="00773556" w:rsidRPr="00C42C69" w:rsidRDefault="00773556" w:rsidP="00A8093A">
            <w:pPr>
              <w:spacing w:after="0" w:line="240" w:lineRule="auto"/>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RU2</w:t>
            </w:r>
          </w:p>
        </w:tc>
        <w:tc>
          <w:tcPr>
            <w:tcW w:w="709" w:type="dxa"/>
            <w:tcBorders>
              <w:top w:val="nil"/>
              <w:left w:val="nil"/>
              <w:bottom w:val="single" w:sz="4" w:space="0" w:color="auto"/>
              <w:right w:val="nil"/>
            </w:tcBorders>
            <w:shd w:val="clear" w:color="auto" w:fill="auto"/>
            <w:noWrap/>
            <w:vAlign w:val="bottom"/>
            <w:hideMark/>
          </w:tcPr>
          <w:p w:rsidR="00773556" w:rsidRPr="00C42C69" w:rsidRDefault="00773556" w:rsidP="00A8093A">
            <w:pPr>
              <w:spacing w:after="0" w:line="240" w:lineRule="auto"/>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RU3</w:t>
            </w:r>
          </w:p>
        </w:tc>
      </w:tr>
      <w:tr w:rsidR="00773556" w:rsidRPr="00C42C69" w:rsidTr="00A8093A">
        <w:trPr>
          <w:trHeight w:val="300"/>
        </w:trPr>
        <w:tc>
          <w:tcPr>
            <w:tcW w:w="866" w:type="dxa"/>
            <w:tcBorders>
              <w:top w:val="single" w:sz="4" w:space="0" w:color="auto"/>
              <w:left w:val="nil"/>
              <w:bottom w:val="nil"/>
              <w:right w:val="single" w:sz="4" w:space="0" w:color="auto"/>
            </w:tcBorders>
            <w:shd w:val="clear" w:color="auto" w:fill="auto"/>
            <w:noWrap/>
            <w:vAlign w:val="bottom"/>
            <w:hideMark/>
          </w:tcPr>
          <w:p w:rsidR="00773556" w:rsidRPr="00C42C69" w:rsidRDefault="00773556" w:rsidP="00A8093A">
            <w:pPr>
              <w:spacing w:after="0" w:line="240" w:lineRule="auto"/>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EU30</w:t>
            </w:r>
          </w:p>
        </w:tc>
        <w:tc>
          <w:tcPr>
            <w:tcW w:w="850" w:type="dxa"/>
            <w:tcBorders>
              <w:top w:val="single" w:sz="4" w:space="0" w:color="auto"/>
              <w:left w:val="single" w:sz="4" w:space="0" w:color="auto"/>
              <w:bottom w:val="nil"/>
              <w:right w:val="nil"/>
            </w:tcBorders>
            <w:shd w:val="clear" w:color="auto" w:fill="auto"/>
            <w:noWrap/>
            <w:vAlign w:val="bottom"/>
            <w:hideMark/>
          </w:tcPr>
          <w:p w:rsidR="00773556" w:rsidRPr="00C42C69" w:rsidRDefault="00773556" w:rsidP="00A8093A">
            <w:pPr>
              <w:spacing w:after="0" w:line="240" w:lineRule="auto"/>
              <w:jc w:val="center"/>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w:t>
            </w:r>
          </w:p>
        </w:tc>
        <w:tc>
          <w:tcPr>
            <w:tcW w:w="709" w:type="dxa"/>
            <w:tcBorders>
              <w:top w:val="single" w:sz="4" w:space="0" w:color="auto"/>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single" w:sz="4" w:space="0" w:color="auto"/>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41.51</w:t>
            </w:r>
          </w:p>
        </w:tc>
        <w:tc>
          <w:tcPr>
            <w:tcW w:w="709" w:type="dxa"/>
            <w:tcBorders>
              <w:top w:val="single" w:sz="4" w:space="0" w:color="auto"/>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8" w:type="dxa"/>
            <w:tcBorders>
              <w:top w:val="single" w:sz="4" w:space="0" w:color="auto"/>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3.92</w:t>
            </w:r>
          </w:p>
        </w:tc>
        <w:tc>
          <w:tcPr>
            <w:tcW w:w="709" w:type="dxa"/>
            <w:tcBorders>
              <w:top w:val="single" w:sz="4" w:space="0" w:color="auto"/>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single" w:sz="4" w:space="0" w:color="auto"/>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r>
      <w:tr w:rsidR="00773556" w:rsidRPr="00C42C69" w:rsidTr="00A8093A">
        <w:trPr>
          <w:trHeight w:val="300"/>
        </w:trPr>
        <w:tc>
          <w:tcPr>
            <w:tcW w:w="866" w:type="dxa"/>
            <w:tcBorders>
              <w:top w:val="nil"/>
              <w:left w:val="nil"/>
              <w:bottom w:val="nil"/>
              <w:right w:val="single" w:sz="4" w:space="0" w:color="auto"/>
            </w:tcBorders>
            <w:shd w:val="clear" w:color="auto" w:fill="auto"/>
            <w:noWrap/>
            <w:vAlign w:val="bottom"/>
            <w:hideMark/>
          </w:tcPr>
          <w:p w:rsidR="00773556" w:rsidRPr="00C42C69" w:rsidRDefault="00773556" w:rsidP="00A8093A">
            <w:pPr>
              <w:spacing w:after="0" w:line="240" w:lineRule="auto"/>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BY</w:t>
            </w:r>
          </w:p>
        </w:tc>
        <w:tc>
          <w:tcPr>
            <w:tcW w:w="850" w:type="dxa"/>
            <w:tcBorders>
              <w:top w:val="nil"/>
              <w:left w:val="single" w:sz="4" w:space="0" w:color="auto"/>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15.06</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center"/>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8"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r>
      <w:tr w:rsidR="00773556" w:rsidRPr="00C42C69" w:rsidTr="00A8093A">
        <w:trPr>
          <w:trHeight w:val="300"/>
        </w:trPr>
        <w:tc>
          <w:tcPr>
            <w:tcW w:w="866" w:type="dxa"/>
            <w:tcBorders>
              <w:top w:val="nil"/>
              <w:left w:val="nil"/>
              <w:bottom w:val="nil"/>
              <w:right w:val="single" w:sz="4" w:space="0" w:color="auto"/>
            </w:tcBorders>
            <w:shd w:val="clear" w:color="auto" w:fill="auto"/>
            <w:noWrap/>
            <w:vAlign w:val="bottom"/>
            <w:hideMark/>
          </w:tcPr>
          <w:p w:rsidR="00773556" w:rsidRPr="00C42C69" w:rsidRDefault="00773556" w:rsidP="00A8093A">
            <w:pPr>
              <w:spacing w:after="0" w:line="240" w:lineRule="auto"/>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UA</w:t>
            </w:r>
          </w:p>
        </w:tc>
        <w:tc>
          <w:tcPr>
            <w:tcW w:w="850" w:type="dxa"/>
            <w:tcBorders>
              <w:top w:val="nil"/>
              <w:left w:val="single" w:sz="4" w:space="0" w:color="auto"/>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161.95</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center"/>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8"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r>
      <w:tr w:rsidR="00773556" w:rsidRPr="00C42C69" w:rsidTr="00A8093A">
        <w:trPr>
          <w:trHeight w:val="300"/>
        </w:trPr>
        <w:tc>
          <w:tcPr>
            <w:tcW w:w="866" w:type="dxa"/>
            <w:tcBorders>
              <w:top w:val="nil"/>
              <w:left w:val="nil"/>
              <w:bottom w:val="nil"/>
              <w:right w:val="single" w:sz="4" w:space="0" w:color="auto"/>
            </w:tcBorders>
            <w:shd w:val="clear" w:color="auto" w:fill="auto"/>
            <w:noWrap/>
            <w:vAlign w:val="bottom"/>
            <w:hideMark/>
          </w:tcPr>
          <w:p w:rsidR="00773556" w:rsidRPr="00C42C69" w:rsidRDefault="00773556" w:rsidP="00A8093A">
            <w:pPr>
              <w:spacing w:after="0" w:line="240" w:lineRule="auto"/>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ROW</w:t>
            </w:r>
          </w:p>
        </w:tc>
        <w:tc>
          <w:tcPr>
            <w:tcW w:w="850" w:type="dxa"/>
            <w:tcBorders>
              <w:top w:val="nil"/>
              <w:left w:val="single" w:sz="4" w:space="0" w:color="auto"/>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10.12</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center"/>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w:t>
            </w:r>
          </w:p>
        </w:tc>
        <w:tc>
          <w:tcPr>
            <w:tcW w:w="708"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r>
      <w:tr w:rsidR="00773556" w:rsidRPr="00C42C69" w:rsidTr="00A8093A">
        <w:trPr>
          <w:trHeight w:val="300"/>
        </w:trPr>
        <w:tc>
          <w:tcPr>
            <w:tcW w:w="866" w:type="dxa"/>
            <w:tcBorders>
              <w:top w:val="nil"/>
              <w:left w:val="nil"/>
              <w:bottom w:val="nil"/>
              <w:right w:val="single" w:sz="4" w:space="0" w:color="auto"/>
            </w:tcBorders>
            <w:shd w:val="clear" w:color="auto" w:fill="auto"/>
            <w:noWrap/>
            <w:vAlign w:val="bottom"/>
            <w:hideMark/>
          </w:tcPr>
          <w:p w:rsidR="00773556" w:rsidRPr="00C42C69" w:rsidRDefault="00773556" w:rsidP="00A8093A">
            <w:pPr>
              <w:spacing w:after="0" w:line="240" w:lineRule="auto"/>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RU1</w:t>
            </w:r>
          </w:p>
        </w:tc>
        <w:tc>
          <w:tcPr>
            <w:tcW w:w="850" w:type="dxa"/>
            <w:tcBorders>
              <w:top w:val="nil"/>
              <w:left w:val="single" w:sz="4" w:space="0" w:color="auto"/>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60.82</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33.44</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137.58</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71.06</w:t>
            </w:r>
          </w:p>
        </w:tc>
        <w:tc>
          <w:tcPr>
            <w:tcW w:w="708"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center"/>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r>
      <w:tr w:rsidR="00773556" w:rsidRPr="00C42C69" w:rsidTr="00A8093A">
        <w:trPr>
          <w:trHeight w:val="300"/>
        </w:trPr>
        <w:tc>
          <w:tcPr>
            <w:tcW w:w="866" w:type="dxa"/>
            <w:tcBorders>
              <w:top w:val="nil"/>
              <w:left w:val="nil"/>
              <w:bottom w:val="nil"/>
              <w:right w:val="single" w:sz="4" w:space="0" w:color="auto"/>
            </w:tcBorders>
            <w:shd w:val="clear" w:color="auto" w:fill="auto"/>
            <w:noWrap/>
            <w:vAlign w:val="bottom"/>
            <w:hideMark/>
          </w:tcPr>
          <w:p w:rsidR="00773556" w:rsidRPr="00C42C69" w:rsidRDefault="00773556" w:rsidP="00A8093A">
            <w:pPr>
              <w:spacing w:after="0" w:line="240" w:lineRule="auto"/>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RU2</w:t>
            </w:r>
          </w:p>
        </w:tc>
        <w:tc>
          <w:tcPr>
            <w:tcW w:w="850" w:type="dxa"/>
            <w:tcBorders>
              <w:top w:val="nil"/>
              <w:left w:val="single" w:sz="4" w:space="0" w:color="auto"/>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8"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382.16</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center"/>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19.11</w:t>
            </w:r>
          </w:p>
        </w:tc>
      </w:tr>
      <w:tr w:rsidR="00773556" w:rsidRPr="00C42C69" w:rsidTr="00A8093A">
        <w:trPr>
          <w:trHeight w:val="300"/>
        </w:trPr>
        <w:tc>
          <w:tcPr>
            <w:tcW w:w="866" w:type="dxa"/>
            <w:tcBorders>
              <w:top w:val="nil"/>
              <w:left w:val="nil"/>
              <w:bottom w:val="nil"/>
              <w:right w:val="single" w:sz="4" w:space="0" w:color="auto"/>
            </w:tcBorders>
            <w:shd w:val="clear" w:color="auto" w:fill="auto"/>
            <w:noWrap/>
            <w:vAlign w:val="bottom"/>
            <w:hideMark/>
          </w:tcPr>
          <w:p w:rsidR="00773556" w:rsidRPr="00C42C69" w:rsidRDefault="00773556" w:rsidP="00A8093A">
            <w:pPr>
              <w:spacing w:after="0" w:line="240" w:lineRule="auto"/>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RU3</w:t>
            </w:r>
          </w:p>
        </w:tc>
        <w:tc>
          <w:tcPr>
            <w:tcW w:w="850" w:type="dxa"/>
            <w:tcBorders>
              <w:top w:val="nil"/>
              <w:left w:val="single" w:sz="4" w:space="0" w:color="auto"/>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8</w:t>
            </w:r>
          </w:p>
        </w:tc>
        <w:tc>
          <w:tcPr>
            <w:tcW w:w="708"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right"/>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0</w:t>
            </w:r>
          </w:p>
        </w:tc>
        <w:tc>
          <w:tcPr>
            <w:tcW w:w="709" w:type="dxa"/>
            <w:tcBorders>
              <w:top w:val="nil"/>
              <w:left w:val="nil"/>
              <w:bottom w:val="nil"/>
              <w:right w:val="nil"/>
            </w:tcBorders>
            <w:shd w:val="clear" w:color="auto" w:fill="auto"/>
            <w:noWrap/>
            <w:vAlign w:val="bottom"/>
            <w:hideMark/>
          </w:tcPr>
          <w:p w:rsidR="00773556" w:rsidRPr="00C42C69" w:rsidRDefault="00773556" w:rsidP="00A8093A">
            <w:pPr>
              <w:spacing w:after="0" w:line="240" w:lineRule="auto"/>
              <w:jc w:val="center"/>
              <w:rPr>
                <w:rFonts w:ascii="Times New Roman" w:eastAsia="Times New Roman" w:hAnsi="Times New Roman" w:cs="Times New Roman"/>
                <w:color w:val="000000"/>
                <w:sz w:val="20"/>
                <w:szCs w:val="20"/>
              </w:rPr>
            </w:pPr>
            <w:r w:rsidRPr="00C42C69">
              <w:rPr>
                <w:rFonts w:ascii="Times New Roman" w:eastAsia="Times New Roman" w:hAnsi="Times New Roman" w:cs="Times New Roman"/>
                <w:color w:val="000000"/>
                <w:sz w:val="20"/>
                <w:szCs w:val="20"/>
              </w:rPr>
              <w:t>-</w:t>
            </w:r>
          </w:p>
        </w:tc>
      </w:tr>
    </w:tbl>
    <w:p w:rsidR="00773556" w:rsidRPr="00085FA6" w:rsidRDefault="00773556" w:rsidP="00773556">
      <w:pPr>
        <w:jc w:val="both"/>
        <w:rPr>
          <w:rFonts w:ascii="Times New Roman" w:eastAsia="Times New Roman" w:hAnsi="Times New Roman" w:cs="Times New Roman"/>
          <w:lang w:val="en-US"/>
        </w:rPr>
      </w:pPr>
    </w:p>
    <w:p w:rsidR="00773556" w:rsidRPr="00085FA6" w:rsidRDefault="00773556" w:rsidP="00773556">
      <w:pPr>
        <w:jc w:val="both"/>
        <w:rPr>
          <w:rFonts w:ascii="Times New Roman" w:hAnsi="Times New Roman" w:cs="Times New Roman"/>
          <w:lang w:val="en-GB"/>
        </w:rPr>
      </w:pPr>
      <w:r w:rsidRPr="00085FA6">
        <w:rPr>
          <w:rFonts w:ascii="Times New Roman" w:hAnsi="Times New Roman" w:cs="Times New Roman"/>
          <w:lang w:val="en-GB"/>
        </w:rPr>
        <w:t xml:space="preserve">The Federal Tariff Service provides a set of regulated </w:t>
      </w:r>
      <w:r>
        <w:rPr>
          <w:rFonts w:ascii="Times New Roman" w:hAnsi="Times New Roman" w:cs="Times New Roman"/>
          <w:lang w:val="en-GB"/>
        </w:rPr>
        <w:t>tariffs</w:t>
      </w:r>
      <w:r w:rsidRPr="00085FA6">
        <w:rPr>
          <w:rFonts w:ascii="Times New Roman" w:hAnsi="Times New Roman" w:cs="Times New Roman"/>
          <w:lang w:val="en-GB"/>
        </w:rPr>
        <w:t xml:space="preserve"> that the distributors pay Gazprom for the gas in all the 8</w:t>
      </w:r>
      <w:r>
        <w:rPr>
          <w:rFonts w:ascii="Times New Roman" w:hAnsi="Times New Roman" w:cs="Times New Roman"/>
          <w:lang w:val="en-GB"/>
        </w:rPr>
        <w:t>3 regions (see chapter 3.7.3</w:t>
      </w:r>
      <w:r w:rsidRPr="00085FA6">
        <w:rPr>
          <w:rFonts w:ascii="Times New Roman" w:hAnsi="Times New Roman" w:cs="Times New Roman"/>
          <w:lang w:val="en-GB"/>
        </w:rPr>
        <w:t xml:space="preserve">). These prices vary with the proximity of the regions to the gas fields. When </w:t>
      </w:r>
      <w:r>
        <w:rPr>
          <w:rFonts w:ascii="Times New Roman" w:hAnsi="Times New Roman" w:cs="Times New Roman"/>
          <w:lang w:val="en-GB"/>
        </w:rPr>
        <w:t xml:space="preserve">a tariff is </w:t>
      </w:r>
      <w:r w:rsidRPr="00085FA6">
        <w:rPr>
          <w:rFonts w:ascii="Times New Roman" w:hAnsi="Times New Roman" w:cs="Times New Roman"/>
          <w:lang w:val="en-GB"/>
        </w:rPr>
        <w:t>calculate</w:t>
      </w:r>
      <w:r>
        <w:rPr>
          <w:rFonts w:ascii="Times New Roman" w:hAnsi="Times New Roman" w:cs="Times New Roman"/>
          <w:lang w:val="en-GB"/>
        </w:rPr>
        <w:t>d</w:t>
      </w:r>
      <w:r w:rsidRPr="00085FA6">
        <w:rPr>
          <w:rFonts w:ascii="Times New Roman" w:hAnsi="Times New Roman" w:cs="Times New Roman"/>
          <w:lang w:val="en-GB"/>
        </w:rPr>
        <w:t xml:space="preserve"> based on the difference in the price to industry between the regions closest to the gas field (</w:t>
      </w:r>
      <w:proofErr w:type="spellStart"/>
      <w:r w:rsidRPr="00085FA6">
        <w:rPr>
          <w:rFonts w:ascii="Times New Roman" w:hAnsi="Times New Roman" w:cs="Times New Roman"/>
          <w:lang w:val="en-GB"/>
        </w:rPr>
        <w:t>Yamal</w:t>
      </w:r>
      <w:proofErr w:type="spellEnd"/>
      <w:r w:rsidRPr="00085FA6">
        <w:rPr>
          <w:rFonts w:ascii="Times New Roman" w:hAnsi="Times New Roman" w:cs="Times New Roman"/>
          <w:lang w:val="en-GB"/>
        </w:rPr>
        <w:t xml:space="preserve">-Nenets Autonomous District) and regions close to where the pipeline passes on its way to the border to Ukraine, </w:t>
      </w:r>
      <w:r>
        <w:rPr>
          <w:rFonts w:ascii="Times New Roman" w:hAnsi="Times New Roman" w:cs="Times New Roman"/>
          <w:lang w:val="en-GB"/>
        </w:rPr>
        <w:t xml:space="preserve">the cost per toe/100 km </w:t>
      </w:r>
      <w:r w:rsidRPr="00085FA6">
        <w:rPr>
          <w:rFonts w:ascii="Times New Roman" w:hAnsi="Times New Roman" w:cs="Times New Roman"/>
          <w:lang w:val="en-GB"/>
        </w:rPr>
        <w:t xml:space="preserve">is very close to that found based on WEO </w:t>
      </w:r>
      <w:r>
        <w:rPr>
          <w:rFonts w:ascii="Times New Roman" w:hAnsi="Times New Roman" w:cs="Times New Roman"/>
          <w:lang w:val="en-GB"/>
        </w:rPr>
        <w:t xml:space="preserve">(2009) </w:t>
      </w:r>
      <w:r w:rsidRPr="00085FA6">
        <w:rPr>
          <w:rFonts w:ascii="Times New Roman" w:hAnsi="Times New Roman" w:cs="Times New Roman"/>
          <w:lang w:val="en-GB"/>
        </w:rPr>
        <w:t>data</w:t>
      </w:r>
      <w:r>
        <w:rPr>
          <w:rFonts w:ascii="Times New Roman" w:hAnsi="Times New Roman" w:cs="Times New Roman"/>
          <w:lang w:val="en-GB"/>
        </w:rPr>
        <w:t xml:space="preserve"> used for international transportation of gas (see chapter 3.5.1.3)</w:t>
      </w:r>
      <w:r w:rsidRPr="00085FA6">
        <w:rPr>
          <w:rFonts w:ascii="Times New Roman" w:hAnsi="Times New Roman" w:cs="Times New Roman"/>
          <w:lang w:val="en-GB"/>
        </w:rPr>
        <w:t xml:space="preserve">. Based on this </w:t>
      </w:r>
      <w:r>
        <w:rPr>
          <w:rFonts w:ascii="Times New Roman" w:hAnsi="Times New Roman" w:cs="Times New Roman"/>
          <w:lang w:val="en-GB"/>
        </w:rPr>
        <w:t>it is</w:t>
      </w:r>
      <w:r w:rsidRPr="00085FA6">
        <w:rPr>
          <w:rFonts w:ascii="Times New Roman" w:hAnsi="Times New Roman" w:cs="Times New Roman"/>
          <w:lang w:val="en-GB"/>
        </w:rPr>
        <w:t xml:space="preserve"> assume</w:t>
      </w:r>
      <w:r>
        <w:rPr>
          <w:rFonts w:ascii="Times New Roman" w:hAnsi="Times New Roman" w:cs="Times New Roman"/>
          <w:lang w:val="en-GB"/>
        </w:rPr>
        <w:t>d</w:t>
      </w:r>
      <w:r w:rsidRPr="00085FA6">
        <w:rPr>
          <w:rFonts w:ascii="Times New Roman" w:hAnsi="Times New Roman" w:cs="Times New Roman"/>
          <w:lang w:val="en-GB"/>
        </w:rPr>
        <w:t xml:space="preserve"> that the same </w:t>
      </w:r>
      <w:r>
        <w:rPr>
          <w:rFonts w:ascii="Times New Roman" w:hAnsi="Times New Roman" w:cs="Times New Roman"/>
          <w:lang w:val="en-GB"/>
        </w:rPr>
        <w:t xml:space="preserve">transportation </w:t>
      </w:r>
      <w:r w:rsidRPr="00085FA6">
        <w:rPr>
          <w:rFonts w:ascii="Times New Roman" w:hAnsi="Times New Roman" w:cs="Times New Roman"/>
          <w:lang w:val="en-GB"/>
        </w:rPr>
        <w:t xml:space="preserve">costs apply between the Russian regions as for the rest of the model countries. </w:t>
      </w:r>
    </w:p>
    <w:p w:rsidR="00773556" w:rsidRDefault="00773556" w:rsidP="00773556">
      <w:pPr>
        <w:jc w:val="both"/>
        <w:rPr>
          <w:rFonts w:ascii="Times New Roman" w:hAnsi="Times New Roman" w:cs="Times New Roman"/>
          <w:lang w:val="en-GB"/>
        </w:rPr>
      </w:pPr>
    </w:p>
    <w:p w:rsidR="00773556" w:rsidRDefault="00773556" w:rsidP="00773556">
      <w:pPr>
        <w:pStyle w:val="Heading3"/>
        <w:jc w:val="both"/>
        <w:rPr>
          <w:lang w:val="en-GB"/>
        </w:rPr>
      </w:pPr>
      <w:bookmarkStart w:id="11" w:name="_Toc386631753"/>
      <w:r>
        <w:rPr>
          <w:lang w:val="en-GB"/>
        </w:rPr>
        <w:t>3.7.11 Transportation of e</w:t>
      </w:r>
      <w:r w:rsidRPr="00053178">
        <w:rPr>
          <w:lang w:val="en-GB"/>
        </w:rPr>
        <w:t>lectricity</w:t>
      </w:r>
      <w:bookmarkEnd w:id="11"/>
    </w:p>
    <w:p w:rsidR="00773556" w:rsidRDefault="00773556" w:rsidP="00773556">
      <w:pPr>
        <w:jc w:val="both"/>
        <w:rPr>
          <w:rFonts w:ascii="Times New Roman" w:hAnsi="Times New Roman" w:cs="Times New Roman"/>
          <w:lang w:val="en-GB"/>
        </w:rPr>
      </w:pPr>
      <w:proofErr w:type="spellStart"/>
      <w:r w:rsidRPr="002E2D94">
        <w:rPr>
          <w:rFonts w:ascii="Times New Roman" w:hAnsi="Times New Roman" w:cs="Times New Roman"/>
          <w:lang w:val="en-GB"/>
        </w:rPr>
        <w:t>Abdurofikov</w:t>
      </w:r>
      <w:proofErr w:type="spellEnd"/>
      <w:r w:rsidRPr="002E2D94">
        <w:rPr>
          <w:rFonts w:ascii="Times New Roman" w:hAnsi="Times New Roman" w:cs="Times New Roman"/>
          <w:lang w:val="en-GB"/>
        </w:rPr>
        <w:t xml:space="preserve"> (2009)</w:t>
      </w:r>
      <w:r>
        <w:rPr>
          <w:rFonts w:ascii="Times New Roman" w:hAnsi="Times New Roman" w:cs="Times New Roman"/>
          <w:lang w:val="en-GB"/>
        </w:rPr>
        <w:t xml:space="preserve"> provides transmission capacities between 28 electricity zones within Russia. These zones do not correspond completely to the federal districts, as there is one zone which is made up of parts of the Ural Federal District (RU1) and parts of Volga Federal District (RU2). This whole zone has been included in RU1. </w:t>
      </w:r>
    </w:p>
    <w:p w:rsidR="00773556" w:rsidRDefault="00773556" w:rsidP="00773556">
      <w:pPr>
        <w:jc w:val="both"/>
        <w:rPr>
          <w:rFonts w:ascii="Times New Roman" w:hAnsi="Times New Roman" w:cs="Times New Roman"/>
          <w:lang w:val="en-GB"/>
        </w:rPr>
      </w:pPr>
      <w:r>
        <w:rPr>
          <w:rFonts w:ascii="Times New Roman" w:hAnsi="Times New Roman" w:cs="Times New Roman"/>
          <w:lang w:val="en-GB"/>
        </w:rPr>
        <w:t>To find the operating and maintenance costs of electricity transmission between the regions exactly the same approach as for the other model countries has been used (see chapter 3.5.2.3</w:t>
      </w:r>
      <w:r>
        <w:rPr>
          <w:rFonts w:ascii="Times New Roman" w:hAnsi="Times New Roman" w:cs="Times New Roman"/>
          <w:lang w:val="en-GB"/>
        </w:rPr>
        <w:t xml:space="preserve"> in the main documentation of LIBEMOD</w:t>
      </w:r>
      <w:r>
        <w:rPr>
          <w:rFonts w:ascii="Times New Roman" w:hAnsi="Times New Roman" w:cs="Times New Roman"/>
          <w:lang w:val="en-GB"/>
        </w:rPr>
        <w:t xml:space="preserve">). </w:t>
      </w:r>
    </w:p>
    <w:p w:rsidR="00F219CE" w:rsidRDefault="00F219CE">
      <w:pPr>
        <w:rPr>
          <w:lang w:val="en-GB"/>
        </w:rPr>
      </w:pPr>
      <w:bookmarkStart w:id="12" w:name="_GoBack"/>
      <w:bookmarkEnd w:id="12"/>
    </w:p>
    <w:p w:rsidR="00E45980" w:rsidRPr="00E45980" w:rsidRDefault="00E45980">
      <w:pPr>
        <w:rPr>
          <w:rFonts w:ascii="Times New Roman" w:hAnsi="Times New Roman" w:cs="Times New Roman"/>
          <w:lang w:val="en-GB"/>
        </w:rPr>
      </w:pPr>
      <w:r w:rsidRPr="00E45980">
        <w:rPr>
          <w:rStyle w:val="Heading2Char"/>
          <w:lang w:val="en-US"/>
        </w:rPr>
        <w:t>References</w:t>
      </w:r>
      <w:r w:rsidRPr="00E45980">
        <w:rPr>
          <w:rStyle w:val="Heading2Char"/>
          <w:lang w:val="en-US"/>
        </w:rPr>
        <w:br/>
      </w:r>
      <w:r>
        <w:rPr>
          <w:rFonts w:ascii="Times New Roman" w:hAnsi="Times New Roman" w:cs="Times New Roman"/>
          <w:lang w:val="en-GB"/>
        </w:rPr>
        <w:br/>
      </w:r>
      <w:r w:rsidRPr="00E45980">
        <w:rPr>
          <w:rFonts w:ascii="Times New Roman" w:hAnsi="Times New Roman" w:cs="Times New Roman"/>
          <w:lang w:val="en-GB"/>
        </w:rPr>
        <w:t>For a list of all references</w:t>
      </w:r>
      <w:r>
        <w:rPr>
          <w:rFonts w:ascii="Times New Roman" w:hAnsi="Times New Roman" w:cs="Times New Roman"/>
          <w:lang w:val="en-GB"/>
        </w:rPr>
        <w:t xml:space="preserve"> used for Russia and in LIBEMOD in general </w:t>
      </w:r>
      <w:r w:rsidRPr="00E45980">
        <w:rPr>
          <w:rFonts w:ascii="Times New Roman" w:hAnsi="Times New Roman" w:cs="Times New Roman"/>
          <w:lang w:val="en-GB"/>
        </w:rPr>
        <w:t xml:space="preserve">see the main documentation of LIBEMOD or </w:t>
      </w:r>
      <w:hyperlink r:id="rId15" w:history="1">
        <w:r w:rsidRPr="00E45980">
          <w:rPr>
            <w:rStyle w:val="Hyperlink"/>
            <w:rFonts w:ascii="Times New Roman" w:hAnsi="Times New Roman" w:cs="Times New Roman"/>
            <w:lang w:val="en-GB"/>
          </w:rPr>
          <w:t>https://www.frisch.uio.no/docs/LIBEMOD/references/</w:t>
        </w:r>
      </w:hyperlink>
      <w:r w:rsidRPr="00E45980">
        <w:rPr>
          <w:rFonts w:ascii="Times New Roman" w:hAnsi="Times New Roman" w:cs="Times New Roman"/>
          <w:lang w:val="en-GB"/>
        </w:rPr>
        <w:t xml:space="preserve"> </w:t>
      </w:r>
      <w:r>
        <w:rPr>
          <w:rFonts w:ascii="Times New Roman" w:hAnsi="Times New Roman" w:cs="Times New Roman"/>
          <w:lang w:val="en-GB"/>
        </w:rPr>
        <w:t>.</w:t>
      </w:r>
    </w:p>
    <w:sectPr w:rsidR="00E45980" w:rsidRPr="00E45980" w:rsidSect="00E459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17" w:rsidRDefault="00036B17" w:rsidP="00773556">
      <w:pPr>
        <w:spacing w:after="0" w:line="240" w:lineRule="auto"/>
      </w:pPr>
      <w:r>
        <w:separator/>
      </w:r>
    </w:p>
  </w:endnote>
  <w:endnote w:type="continuationSeparator" w:id="0">
    <w:p w:rsidR="00036B17" w:rsidRDefault="00036B17" w:rsidP="0077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17" w:rsidRDefault="00036B17" w:rsidP="00773556">
      <w:pPr>
        <w:spacing w:after="0" w:line="240" w:lineRule="auto"/>
      </w:pPr>
      <w:r>
        <w:separator/>
      </w:r>
    </w:p>
  </w:footnote>
  <w:footnote w:type="continuationSeparator" w:id="0">
    <w:p w:rsidR="00036B17" w:rsidRDefault="00036B17" w:rsidP="00773556">
      <w:pPr>
        <w:spacing w:after="0" w:line="240" w:lineRule="auto"/>
      </w:pPr>
      <w:r>
        <w:continuationSeparator/>
      </w:r>
    </w:p>
  </w:footnote>
  <w:footnote w:id="1">
    <w:p w:rsidR="00773556" w:rsidRPr="0029224B" w:rsidRDefault="00773556" w:rsidP="00773556">
      <w:pPr>
        <w:pStyle w:val="FootnoteText"/>
        <w:rPr>
          <w:rFonts w:ascii="Times New Roman" w:hAnsi="Times New Roman" w:cs="Times New Roman"/>
          <w:lang w:val="en-US"/>
        </w:rPr>
      </w:pPr>
      <w:r w:rsidRPr="0029224B">
        <w:rPr>
          <w:rStyle w:val="FootnoteReference"/>
          <w:rFonts w:ascii="Times New Roman" w:hAnsi="Times New Roman" w:cs="Times New Roman"/>
        </w:rPr>
        <w:footnoteRef/>
      </w:r>
      <w:r w:rsidRPr="0029224B">
        <w:rPr>
          <w:rFonts w:ascii="Times New Roman" w:hAnsi="Times New Roman" w:cs="Times New Roman"/>
          <w:lang w:val="ru-RU"/>
        </w:rPr>
        <w:t xml:space="preserve">  УКАЗ Президента РФ от 13.05.2000 </w:t>
      </w:r>
      <w:r w:rsidRPr="0029224B">
        <w:rPr>
          <w:rFonts w:ascii="Times New Roman" w:hAnsi="Times New Roman" w:cs="Times New Roman"/>
          <w:lang w:val="en-US"/>
        </w:rPr>
        <w:t>N</w:t>
      </w:r>
      <w:r w:rsidRPr="0029224B">
        <w:rPr>
          <w:rFonts w:ascii="Times New Roman" w:hAnsi="Times New Roman" w:cs="Times New Roman"/>
          <w:lang w:val="ru-RU"/>
        </w:rPr>
        <w:t xml:space="preserve"> 849 "О ПОЛНОМОЧНОМ ПРЕДСТАВИТЕЛЕ ПРЕЗИДЕНТА РОССИЙСКОЙ ФЕДЕРАЦИИ В ФЕДЕРАЛЬНОМ ОКРУГЕ". </w:t>
      </w:r>
      <w:r w:rsidRPr="0029224B">
        <w:rPr>
          <w:rFonts w:ascii="Times New Roman" w:hAnsi="Times New Roman" w:cs="Times New Roman"/>
          <w:lang w:val="en-US"/>
        </w:rPr>
        <w:t>Graph.document.kremlin.ru (2000-05-13)</w:t>
      </w:r>
    </w:p>
  </w:footnote>
  <w:footnote w:id="2">
    <w:p w:rsidR="00773556" w:rsidRPr="00E70996" w:rsidRDefault="00773556" w:rsidP="00773556">
      <w:pPr>
        <w:spacing w:after="0" w:line="240" w:lineRule="auto"/>
        <w:rPr>
          <w:rFonts w:ascii="Times New Roman" w:hAnsi="Times New Roman" w:cs="Times New Roman"/>
          <w:sz w:val="20"/>
          <w:szCs w:val="20"/>
          <w:lang w:val="en-GB"/>
        </w:rPr>
      </w:pPr>
      <w:r w:rsidRPr="00085FA6">
        <w:rPr>
          <w:rStyle w:val="FootnoteReference"/>
          <w:rFonts w:ascii="Times New Roman" w:hAnsi="Times New Roman" w:cs="Times New Roman"/>
          <w:sz w:val="20"/>
          <w:szCs w:val="20"/>
        </w:rPr>
        <w:footnoteRef/>
      </w:r>
      <w:r w:rsidRPr="00085FA6">
        <w:rPr>
          <w:rFonts w:ascii="Times New Roman" w:hAnsi="Times New Roman" w:cs="Times New Roman"/>
          <w:sz w:val="20"/>
          <w:szCs w:val="20"/>
          <w:lang w:val="en-US"/>
        </w:rPr>
        <w:t xml:space="preserve"> </w:t>
      </w:r>
      <w:r w:rsidRPr="00085FA6">
        <w:rPr>
          <w:rFonts w:ascii="Times New Roman" w:hAnsi="Times New Roman" w:cs="Times New Roman"/>
          <w:sz w:val="20"/>
          <w:szCs w:val="20"/>
          <w:lang w:val="en-GB"/>
        </w:rPr>
        <w:t>North Caucasus Federal District was split from Southern Federal District in January 2010, so in the data sources it varies whether it is split into 7 or 8 districts. However, for our use this makes no difference</w:t>
      </w:r>
      <w:r>
        <w:rPr>
          <w:rFonts w:ascii="Times New Roman" w:hAnsi="Times New Roman" w:cs="Times New Roman"/>
          <w:sz w:val="20"/>
          <w:szCs w:val="20"/>
          <w:lang w:val="en-GB"/>
        </w:rPr>
        <w:t xml:space="preserve"> as they are both part of RU1. </w:t>
      </w:r>
    </w:p>
  </w:footnote>
  <w:footnote w:id="3">
    <w:p w:rsidR="00773556" w:rsidRPr="00085FA6" w:rsidRDefault="00773556" w:rsidP="00773556">
      <w:pPr>
        <w:pStyle w:val="FootnoteText"/>
        <w:rPr>
          <w:rFonts w:ascii="Times New Roman" w:hAnsi="Times New Roman" w:cs="Times New Roman"/>
          <w:color w:val="FF0000"/>
          <w:lang w:val="en-GB"/>
        </w:rPr>
      </w:pPr>
      <w:r w:rsidRPr="00085FA6">
        <w:rPr>
          <w:rStyle w:val="FootnoteReference"/>
          <w:rFonts w:ascii="Times New Roman" w:hAnsi="Times New Roman" w:cs="Times New Roman"/>
        </w:rPr>
        <w:footnoteRef/>
      </w:r>
      <w:r w:rsidRPr="00085FA6">
        <w:rPr>
          <w:rFonts w:ascii="Times New Roman" w:hAnsi="Times New Roman" w:cs="Times New Roman"/>
          <w:lang w:val="en-GB"/>
        </w:rPr>
        <w:t xml:space="preserve"> </w:t>
      </w:r>
      <w:r w:rsidRPr="00085FA6">
        <w:rPr>
          <w:rFonts w:ascii="Times New Roman" w:hAnsi="Times New Roman" w:cs="Times New Roman"/>
          <w:lang w:val="ru-RU"/>
        </w:rPr>
        <w:t>Отчет</w:t>
      </w:r>
      <w:r w:rsidRPr="00085FA6">
        <w:rPr>
          <w:rFonts w:ascii="Times New Roman" w:hAnsi="Times New Roman" w:cs="Times New Roman"/>
          <w:lang w:val="en-GB"/>
        </w:rPr>
        <w:t xml:space="preserve"> </w:t>
      </w:r>
      <w:r w:rsidRPr="00085FA6">
        <w:rPr>
          <w:rFonts w:ascii="Times New Roman" w:hAnsi="Times New Roman" w:cs="Times New Roman"/>
          <w:lang w:val="ru-RU"/>
        </w:rPr>
        <w:t>о</w:t>
      </w:r>
      <w:r w:rsidRPr="00085FA6">
        <w:rPr>
          <w:rFonts w:ascii="Times New Roman" w:hAnsi="Times New Roman" w:cs="Times New Roman"/>
          <w:lang w:val="en-GB"/>
        </w:rPr>
        <w:t xml:space="preserve"> </w:t>
      </w:r>
      <w:r w:rsidRPr="00085FA6">
        <w:rPr>
          <w:rFonts w:ascii="Times New Roman" w:hAnsi="Times New Roman" w:cs="Times New Roman"/>
          <w:lang w:val="ru-RU"/>
        </w:rPr>
        <w:t>функционировании</w:t>
      </w:r>
      <w:r w:rsidRPr="00085FA6">
        <w:rPr>
          <w:rFonts w:ascii="Times New Roman" w:hAnsi="Times New Roman" w:cs="Times New Roman"/>
          <w:lang w:val="en-GB"/>
        </w:rPr>
        <w:t xml:space="preserve"> </w:t>
      </w:r>
      <w:r w:rsidRPr="00085FA6">
        <w:rPr>
          <w:rFonts w:ascii="Times New Roman" w:hAnsi="Times New Roman" w:cs="Times New Roman"/>
          <w:lang w:val="ru-RU"/>
        </w:rPr>
        <w:t>ЕЭС</w:t>
      </w:r>
      <w:r w:rsidRPr="00085FA6">
        <w:rPr>
          <w:rFonts w:ascii="Times New Roman" w:hAnsi="Times New Roman" w:cs="Times New Roman"/>
          <w:lang w:val="en-GB"/>
        </w:rPr>
        <w:t xml:space="preserve"> </w:t>
      </w:r>
      <w:r w:rsidRPr="00085FA6">
        <w:rPr>
          <w:rFonts w:ascii="Times New Roman" w:hAnsi="Times New Roman" w:cs="Times New Roman"/>
          <w:lang w:val="ru-RU"/>
        </w:rPr>
        <w:t>России</w:t>
      </w:r>
      <w:r w:rsidRPr="00085FA6">
        <w:rPr>
          <w:rFonts w:ascii="Times New Roman" w:hAnsi="Times New Roman" w:cs="Times New Roman"/>
          <w:lang w:val="en-GB"/>
        </w:rPr>
        <w:t xml:space="preserve"> </w:t>
      </w:r>
      <w:r w:rsidRPr="00085FA6">
        <w:rPr>
          <w:rFonts w:ascii="Times New Roman" w:hAnsi="Times New Roman" w:cs="Times New Roman"/>
          <w:lang w:val="ru-RU"/>
        </w:rPr>
        <w:t>в</w:t>
      </w:r>
      <w:r w:rsidRPr="00085FA6">
        <w:rPr>
          <w:rFonts w:ascii="Times New Roman" w:hAnsi="Times New Roman" w:cs="Times New Roman"/>
          <w:lang w:val="en-GB"/>
        </w:rPr>
        <w:t xml:space="preserve"> 2010 </w:t>
      </w:r>
      <w:r w:rsidRPr="00085FA6">
        <w:rPr>
          <w:rFonts w:ascii="Times New Roman" w:hAnsi="Times New Roman" w:cs="Times New Roman"/>
          <w:lang w:val="ru-RU"/>
        </w:rPr>
        <w:t>году</w:t>
      </w:r>
      <w:r w:rsidRPr="00085FA6">
        <w:rPr>
          <w:rFonts w:ascii="Times New Roman" w:hAnsi="Times New Roman" w:cs="Times New Roman"/>
          <w:lang w:val="en-GB"/>
        </w:rPr>
        <w:t xml:space="preserve"> – “United Energy Systems (UES) of Russia 2010 operations report”.</w:t>
      </w:r>
    </w:p>
  </w:footnote>
  <w:footnote w:id="4">
    <w:p w:rsidR="00773556" w:rsidRPr="005E1B92" w:rsidRDefault="00773556" w:rsidP="00773556">
      <w:pPr>
        <w:pStyle w:val="FootnoteText"/>
        <w:rPr>
          <w:rFonts w:ascii="Times New Roman" w:hAnsi="Times New Roman" w:cs="Times New Roman"/>
          <w:lang w:val="en-US"/>
        </w:rPr>
      </w:pPr>
      <w:r w:rsidRPr="005E1B92">
        <w:rPr>
          <w:rStyle w:val="FootnoteReference"/>
          <w:rFonts w:ascii="Times New Roman" w:hAnsi="Times New Roman" w:cs="Times New Roman"/>
        </w:rPr>
        <w:footnoteRef/>
      </w:r>
      <w:r w:rsidRPr="005E1B92">
        <w:rPr>
          <w:rFonts w:ascii="Times New Roman" w:hAnsi="Times New Roman" w:cs="Times New Roman"/>
          <w:lang w:val="en-US"/>
        </w:rPr>
        <w:t xml:space="preserve"> </w:t>
      </w:r>
      <w:hyperlink r:id="rId1" w:history="1">
        <w:r w:rsidRPr="00E40AC6">
          <w:rPr>
            <w:rStyle w:val="Hyperlink"/>
            <w:rFonts w:ascii="Times New Roman" w:hAnsi="Times New Roman" w:cs="Times New Roman"/>
            <w:lang w:val="en-US"/>
          </w:rPr>
          <w:t>http://solex-un.ru/energo/reviews/avtomobilnyy-transport/obzor-1</w:t>
        </w:r>
      </w:hyperlink>
      <w:r>
        <w:rPr>
          <w:rFonts w:ascii="Times New Roman" w:hAnsi="Times New Roman" w:cs="Times New Roman"/>
          <w:lang w:val="en-US"/>
        </w:rPr>
        <w:t xml:space="preserve"> </w:t>
      </w:r>
    </w:p>
  </w:footnote>
  <w:footnote w:id="5">
    <w:p w:rsidR="00773556" w:rsidRPr="00085FA6" w:rsidRDefault="00773556" w:rsidP="00773556">
      <w:pPr>
        <w:pStyle w:val="FootnoteText"/>
        <w:rPr>
          <w:rFonts w:ascii="Times New Roman" w:hAnsi="Times New Roman" w:cs="Times New Roman"/>
          <w:lang w:val="en-GB"/>
        </w:rPr>
      </w:pPr>
      <w:r w:rsidRPr="00085FA6">
        <w:rPr>
          <w:rStyle w:val="FootnoteReference"/>
          <w:rFonts w:ascii="Times New Roman" w:hAnsi="Times New Roman" w:cs="Times New Roman"/>
        </w:rPr>
        <w:footnoteRef/>
      </w:r>
      <w:r w:rsidRPr="00085FA6">
        <w:rPr>
          <w:rFonts w:ascii="Times New Roman" w:hAnsi="Times New Roman" w:cs="Times New Roman"/>
          <w:lang w:val="en-GB"/>
        </w:rPr>
        <w:t xml:space="preserve"> </w:t>
      </w:r>
      <w:r>
        <w:rPr>
          <w:rFonts w:ascii="Times New Roman" w:hAnsi="Times New Roman" w:cs="Times New Roman"/>
          <w:lang w:val="en-GB"/>
        </w:rPr>
        <w:t>Due to lack of sources an allocation had to be made</w:t>
      </w:r>
      <w:r w:rsidRPr="00085FA6">
        <w:rPr>
          <w:rFonts w:ascii="Times New Roman" w:hAnsi="Times New Roman" w:cs="Times New Roman"/>
          <w:lang w:val="en-GB"/>
        </w:rPr>
        <w:t xml:space="preserve">. </w:t>
      </w:r>
      <w:r>
        <w:rPr>
          <w:rFonts w:ascii="Times New Roman" w:hAnsi="Times New Roman" w:cs="Times New Roman"/>
          <w:lang w:val="en-GB"/>
        </w:rPr>
        <w:t xml:space="preserve">It is loosely based on the location of oil-fired power plants in Russia.  </w:t>
      </w:r>
    </w:p>
  </w:footnote>
  <w:footnote w:id="6">
    <w:p w:rsidR="00773556" w:rsidRPr="004B61D8" w:rsidRDefault="00773556" w:rsidP="00773556">
      <w:pPr>
        <w:pStyle w:val="FootnoteText"/>
        <w:rPr>
          <w:rStyle w:val="FootnoteReference"/>
          <w:lang w:val="en-US"/>
        </w:rPr>
      </w:pPr>
      <w:r w:rsidRPr="004B61D8">
        <w:rPr>
          <w:rStyle w:val="FootnoteReference"/>
          <w:rFonts w:ascii="Times New Roman" w:hAnsi="Times New Roman" w:cs="Times New Roman"/>
        </w:rPr>
        <w:footnoteRef/>
      </w:r>
      <w:r w:rsidRPr="004B61D8">
        <w:rPr>
          <w:rFonts w:ascii="Times New Roman" w:hAnsi="Times New Roman" w:cs="Times New Roman"/>
          <w:lang w:val="en-US"/>
        </w:rPr>
        <w:t xml:space="preserve"> </w:t>
      </w:r>
      <w:r>
        <w:rPr>
          <w:rFonts w:ascii="Times New Roman" w:hAnsi="Times New Roman" w:cs="Times New Roman"/>
          <w:lang w:val="en-US"/>
        </w:rPr>
        <w:t>These regional power systems are not totally overlapping with the federal districts for Volga and Ural (</w:t>
      </w:r>
      <w:r w:rsidRPr="007D587E">
        <w:rPr>
          <w:rFonts w:ascii="Times New Roman" w:hAnsi="Times New Roman" w:cs="Times New Roman"/>
          <w:lang w:val="en-US"/>
        </w:rPr>
        <w:t>http://so-ups.ru/index.php?id=fops</w:t>
      </w:r>
      <w:r>
        <w:rPr>
          <w:rFonts w:ascii="Times New Roman" w:hAnsi="Times New Roman" w:cs="Times New Roman"/>
          <w:lang w:val="en-US"/>
        </w:rPr>
        <w:t xml:space="preserve">), but when APBE (2010) uses Volga and Ural in their data we assume that this is in keeping with our definition of the regions. </w:t>
      </w:r>
    </w:p>
  </w:footnote>
  <w:footnote w:id="7">
    <w:p w:rsidR="00773556" w:rsidRPr="0078050E" w:rsidRDefault="00773556" w:rsidP="00773556">
      <w:pPr>
        <w:pStyle w:val="FootnoteText"/>
        <w:rPr>
          <w:lang w:val="en-US"/>
        </w:rPr>
      </w:pPr>
      <w:r>
        <w:rPr>
          <w:rStyle w:val="FootnoteReference"/>
        </w:rPr>
        <w:footnoteRef/>
      </w:r>
      <w:r w:rsidRPr="0078050E">
        <w:rPr>
          <w:lang w:val="en-US"/>
        </w:rPr>
        <w:t xml:space="preserve"> </w:t>
      </w:r>
      <w:r w:rsidRPr="0078050E">
        <w:rPr>
          <w:rFonts w:ascii="Times New Roman" w:hAnsi="Times New Roman" w:cs="Times New Roman"/>
          <w:lang w:val="en-US"/>
        </w:rPr>
        <w:t>Russia is divided into 83 smaller regions and in the official tariffs for gas, and minimum and maximum prices for electricity, we therefore have sets of 83 prices. As mentioned, the forecast reports operate with the seven federal regions, whereas we in our model have tree regions. We have therefore used averages, sometimes weighted on population, to get a set of three regional prices.</w:t>
      </w:r>
      <w:r w:rsidRPr="0078050E">
        <w:rPr>
          <w:lang w:val="en-US"/>
        </w:rPr>
        <w:t xml:space="preserve">  </w:t>
      </w:r>
    </w:p>
  </w:footnote>
  <w:footnote w:id="8">
    <w:p w:rsidR="00773556" w:rsidRPr="008C1C66" w:rsidRDefault="00773556" w:rsidP="00773556">
      <w:pPr>
        <w:pStyle w:val="FootnoteText"/>
        <w:rPr>
          <w:rFonts w:ascii="Times New Roman" w:hAnsi="Times New Roman" w:cs="Times New Roman"/>
          <w:lang w:val="en-US"/>
        </w:rPr>
      </w:pPr>
      <w:r w:rsidRPr="008C1C66">
        <w:rPr>
          <w:rStyle w:val="FootnoteReference"/>
          <w:rFonts w:ascii="Times New Roman" w:hAnsi="Times New Roman" w:cs="Times New Roman"/>
        </w:rPr>
        <w:footnoteRef/>
      </w:r>
      <w:r w:rsidRPr="008C1C66">
        <w:rPr>
          <w:rFonts w:ascii="Times New Roman" w:hAnsi="Times New Roman" w:cs="Times New Roman"/>
          <w:lang w:val="en-US"/>
        </w:rPr>
        <w:t xml:space="preserve"> </w:t>
      </w:r>
      <w:hyperlink r:id="rId2" w:history="1">
        <w:r w:rsidRPr="00A903A3">
          <w:rPr>
            <w:rStyle w:val="Hyperlink"/>
            <w:rFonts w:ascii="Times New Roman" w:hAnsi="Times New Roman" w:cs="Times New Roman"/>
            <w:lang w:val="en-US"/>
          </w:rPr>
          <w:t>http://www.fstrf.ru/tariffs/info_tarif/gas</w:t>
        </w:r>
      </w:hyperlink>
      <w:r>
        <w:rPr>
          <w:rFonts w:ascii="Times New Roman" w:hAnsi="Times New Roman" w:cs="Times New Roman"/>
          <w:lang w:val="en-US"/>
        </w:rPr>
        <w:t xml:space="preserve"> </w:t>
      </w:r>
    </w:p>
  </w:footnote>
  <w:footnote w:id="9">
    <w:p w:rsidR="00773556" w:rsidRPr="008C1C66" w:rsidRDefault="00773556" w:rsidP="00773556">
      <w:pPr>
        <w:pStyle w:val="FootnoteText"/>
        <w:rPr>
          <w:rFonts w:ascii="Times New Roman" w:hAnsi="Times New Roman" w:cs="Times New Roman"/>
          <w:lang w:val="en-GB"/>
        </w:rPr>
      </w:pPr>
      <w:r w:rsidRPr="008C1C66">
        <w:rPr>
          <w:rStyle w:val="FootnoteReference"/>
          <w:rFonts w:ascii="Times New Roman" w:hAnsi="Times New Roman" w:cs="Times New Roman"/>
          <w:lang w:val="en-GB"/>
        </w:rPr>
        <w:footnoteRef/>
      </w:r>
      <w:r w:rsidRPr="008C1C66">
        <w:rPr>
          <w:rFonts w:ascii="Times New Roman" w:hAnsi="Times New Roman" w:cs="Times New Roman"/>
          <w:lang w:val="en-GB"/>
        </w:rPr>
        <w:t xml:space="preserve"> The data available for each region varied considerably. Most regions only had data for the current year (2013) on their websites. We gathered the 2009-prices that were available, and also looked to the differences in price between regions in the 2013-data as it is assumed that the increase in the gas price has been relatively similar across regions (based on federal policy). </w:t>
      </w:r>
    </w:p>
  </w:footnote>
  <w:footnote w:id="10">
    <w:p w:rsidR="00773556" w:rsidRPr="008C1C66" w:rsidRDefault="00773556" w:rsidP="00773556">
      <w:pPr>
        <w:pStyle w:val="FootnoteText"/>
        <w:rPr>
          <w:rFonts w:ascii="Times New Roman" w:hAnsi="Times New Roman" w:cs="Times New Roman"/>
          <w:lang w:val="en-GB"/>
        </w:rPr>
      </w:pPr>
      <w:r w:rsidRPr="008C1C66">
        <w:rPr>
          <w:rStyle w:val="FootnoteReference"/>
          <w:rFonts w:ascii="Times New Roman" w:hAnsi="Times New Roman" w:cs="Times New Roman"/>
          <w:lang w:val="en-GB"/>
        </w:rPr>
        <w:footnoteRef/>
      </w:r>
      <w:r w:rsidRPr="008C1C66">
        <w:rPr>
          <w:rFonts w:ascii="Times New Roman" w:hAnsi="Times New Roman" w:cs="Times New Roman"/>
          <w:lang w:val="en-GB"/>
        </w:rPr>
        <w:t xml:space="preserve"> This is based on the distribution costs of coal to households in Eastern Europe.</w:t>
      </w:r>
    </w:p>
  </w:footnote>
  <w:footnote w:id="11">
    <w:p w:rsidR="00773556" w:rsidRPr="009F18CB" w:rsidRDefault="00773556" w:rsidP="00773556">
      <w:pPr>
        <w:pStyle w:val="FootnoteText"/>
        <w:rPr>
          <w:rFonts w:ascii="Times New Roman" w:hAnsi="Times New Roman" w:cs="Times New Roman"/>
          <w:lang w:val="en-US"/>
        </w:rPr>
      </w:pPr>
      <w:r w:rsidRPr="009F18CB">
        <w:rPr>
          <w:rStyle w:val="FootnoteReference"/>
          <w:rFonts w:ascii="Times New Roman" w:hAnsi="Times New Roman" w:cs="Times New Roman"/>
        </w:rPr>
        <w:footnoteRef/>
      </w:r>
      <w:r w:rsidRPr="009F18CB">
        <w:rPr>
          <w:rFonts w:ascii="Times New Roman" w:hAnsi="Times New Roman" w:cs="Times New Roman"/>
          <w:lang w:val="en-US"/>
        </w:rPr>
        <w:t xml:space="preserve"> This is not clearly specified in the report, however with the names of the extraction areas it is possible to identify a few coal mines where brown coal (lignite) is extracted. </w:t>
      </w:r>
    </w:p>
  </w:footnote>
  <w:footnote w:id="12">
    <w:p w:rsidR="00773556" w:rsidRPr="008C1C66" w:rsidRDefault="00773556" w:rsidP="00773556">
      <w:pPr>
        <w:pStyle w:val="FootnoteText"/>
        <w:rPr>
          <w:rFonts w:ascii="Times New Roman" w:hAnsi="Times New Roman" w:cs="Times New Roman"/>
          <w:color w:val="FF0000"/>
          <w:lang w:val="en-US"/>
        </w:rPr>
      </w:pPr>
      <w:r w:rsidRPr="008C1C66">
        <w:rPr>
          <w:rStyle w:val="FootnoteReference"/>
          <w:rFonts w:ascii="Times New Roman" w:hAnsi="Times New Roman" w:cs="Times New Roman"/>
        </w:rPr>
        <w:footnoteRef/>
      </w:r>
      <w:r w:rsidRPr="008C1C66">
        <w:rPr>
          <w:rFonts w:ascii="Times New Roman" w:hAnsi="Times New Roman" w:cs="Times New Roman"/>
          <w:lang w:val="en-US"/>
        </w:rPr>
        <w:t xml:space="preserve"> </w:t>
      </w:r>
      <w:r w:rsidRPr="008C1C66">
        <w:rPr>
          <w:rFonts w:ascii="Times New Roman" w:hAnsi="Times New Roman" w:cs="Times New Roman"/>
          <w:lang w:val="en-GB"/>
        </w:rPr>
        <w:t>This is based on the distribution costs of oil to households in Eastern Europe.</w:t>
      </w:r>
    </w:p>
  </w:footnote>
  <w:footnote w:id="13">
    <w:p w:rsidR="00773556" w:rsidRPr="008C1C66" w:rsidRDefault="00773556" w:rsidP="00773556">
      <w:pPr>
        <w:pStyle w:val="FootnoteText"/>
        <w:rPr>
          <w:rFonts w:ascii="Times New Roman" w:hAnsi="Times New Roman" w:cs="Times New Roman"/>
          <w:lang w:val="en-GB"/>
        </w:rPr>
      </w:pPr>
      <w:r w:rsidRPr="008C1C66">
        <w:rPr>
          <w:rStyle w:val="FootnoteReference"/>
          <w:rFonts w:ascii="Times New Roman" w:hAnsi="Times New Roman" w:cs="Times New Roman"/>
          <w:lang w:val="en-GB"/>
        </w:rPr>
        <w:footnoteRef/>
      </w:r>
      <w:r w:rsidRPr="008C1C66">
        <w:rPr>
          <w:rFonts w:ascii="Times New Roman" w:hAnsi="Times New Roman" w:cs="Times New Roman"/>
          <w:lang w:val="en-GB"/>
        </w:rPr>
        <w:t xml:space="preserve"> </w:t>
      </w:r>
      <w:r>
        <w:rPr>
          <w:rFonts w:ascii="Times New Roman" w:hAnsi="Times New Roman" w:cs="Times New Roman"/>
          <w:lang w:val="en-GB"/>
        </w:rPr>
        <w:t>Found through</w:t>
      </w:r>
      <w:r w:rsidRPr="00456961">
        <w:rPr>
          <w:rFonts w:ascii="Times New Roman" w:hAnsi="Times New Roman" w:cs="Times New Roman"/>
          <w:lang w:val="en-GB"/>
        </w:rPr>
        <w:t xml:space="preserve"> </w:t>
      </w:r>
      <w:hyperlink r:id="rId3" w:history="1">
        <w:r w:rsidRPr="00A903A3">
          <w:rPr>
            <w:rStyle w:val="Hyperlink"/>
            <w:rFonts w:ascii="Times New Roman" w:hAnsi="Times New Roman" w:cs="Times New Roman"/>
            <w:lang w:val="en-GB"/>
          </w:rPr>
          <w:t>www.minenergo.ru</w:t>
        </w:r>
      </w:hyperlink>
      <w:r>
        <w:rPr>
          <w:rFonts w:ascii="Times New Roman" w:hAnsi="Times New Roman" w:cs="Times New Roman"/>
          <w:lang w:val="en-GB"/>
        </w:rPr>
        <w:t xml:space="preserve">. </w:t>
      </w:r>
      <w:r w:rsidRPr="008C1C66">
        <w:rPr>
          <w:rFonts w:ascii="Times New Roman" w:hAnsi="Times New Roman" w:cs="Times New Roman"/>
          <w:lang w:val="en-GB"/>
        </w:rPr>
        <w:t xml:space="preserve">This online tool provides daily prices of petrol, but only a few months back (beginning of 2013). We therefor implicitly assume that the regional differences stayed the same between 2009 and 2013. </w:t>
      </w:r>
    </w:p>
  </w:footnote>
  <w:footnote w:id="14">
    <w:p w:rsidR="00773556" w:rsidRPr="00085FA6" w:rsidRDefault="00773556" w:rsidP="00773556">
      <w:pPr>
        <w:pStyle w:val="FootnoteText"/>
        <w:rPr>
          <w:rFonts w:ascii="Times New Roman" w:hAnsi="Times New Roman" w:cs="Times New Roman"/>
          <w:lang w:val="fr-FR"/>
        </w:rPr>
      </w:pPr>
      <w:r w:rsidRPr="00085FA6">
        <w:rPr>
          <w:rStyle w:val="FootnoteReference"/>
          <w:rFonts w:ascii="Times New Roman" w:hAnsi="Times New Roman" w:cs="Times New Roman"/>
        </w:rPr>
        <w:footnoteRef/>
      </w:r>
      <w:r w:rsidRPr="00085FA6">
        <w:rPr>
          <w:rFonts w:ascii="Times New Roman" w:hAnsi="Times New Roman" w:cs="Times New Roman"/>
          <w:lang w:val="fr-FR"/>
        </w:rPr>
        <w:t xml:space="preserve"> Source: </w:t>
      </w:r>
      <w:hyperlink r:id="rId4" w:history="1">
        <w:r w:rsidRPr="00AC6C4B">
          <w:rPr>
            <w:rStyle w:val="Hyperlink"/>
            <w:rFonts w:ascii="Times New Roman" w:hAnsi="Times New Roman" w:cs="Times New Roman"/>
            <w:lang w:val="fr-FR"/>
          </w:rPr>
          <w:t>http://www.gks.ru/wps/wcm/connect/rosstat_main/rosstat/ru/statistics/accounts/#</w:t>
        </w:r>
      </w:hyperlink>
      <w:r>
        <w:rPr>
          <w:rFonts w:ascii="Times New Roman" w:hAnsi="Times New Roman" w:cs="Times New Roman"/>
          <w:lang w:val="fr-FR"/>
        </w:rPr>
        <w:t xml:space="preserve"> </w:t>
      </w:r>
    </w:p>
  </w:footnote>
  <w:footnote w:id="15">
    <w:p w:rsidR="00773556" w:rsidRPr="00085FA6" w:rsidRDefault="00773556" w:rsidP="00773556">
      <w:pPr>
        <w:pStyle w:val="FootnoteText"/>
        <w:rPr>
          <w:rFonts w:ascii="Times New Roman" w:hAnsi="Times New Roman" w:cs="Times New Roman"/>
          <w:lang w:val="fr-FR"/>
        </w:rPr>
      </w:pPr>
      <w:r w:rsidRPr="00085FA6">
        <w:rPr>
          <w:rStyle w:val="FootnoteReference"/>
          <w:rFonts w:ascii="Times New Roman" w:hAnsi="Times New Roman" w:cs="Times New Roman"/>
        </w:rPr>
        <w:footnoteRef/>
      </w:r>
      <w:r>
        <w:rPr>
          <w:rFonts w:ascii="Times New Roman" w:hAnsi="Times New Roman" w:cs="Times New Roman"/>
          <w:lang w:val="fr-FR"/>
        </w:rPr>
        <w:t xml:space="preserve"> Source:</w:t>
      </w:r>
      <w:r w:rsidRPr="00085FA6">
        <w:rPr>
          <w:rFonts w:ascii="Times New Roman" w:hAnsi="Times New Roman" w:cs="Times New Roman"/>
          <w:lang w:val="fr-FR"/>
        </w:rPr>
        <w:t xml:space="preserve"> </w:t>
      </w:r>
      <w:hyperlink r:id="rId5" w:history="1">
        <w:r w:rsidRPr="00AC6C4B">
          <w:rPr>
            <w:rStyle w:val="Hyperlink"/>
            <w:rFonts w:ascii="Times New Roman" w:hAnsi="Times New Roman" w:cs="Times New Roman"/>
            <w:lang w:val="fr-FR"/>
          </w:rPr>
          <w:t>http://www.gks.ru/wps/wcm/connect/rosstat_main/rosstat/ru/statistics/population/demography/#</w:t>
        </w:r>
      </w:hyperlink>
      <w:r>
        <w:rPr>
          <w:rFonts w:ascii="Times New Roman" w:hAnsi="Times New Roman" w:cs="Times New Roman"/>
          <w:lang w:val="fr-FR"/>
        </w:rPr>
        <w:t xml:space="preserve"> </w:t>
      </w:r>
    </w:p>
  </w:footnote>
  <w:footnote w:id="16">
    <w:p w:rsidR="00773556" w:rsidRPr="007A4205" w:rsidRDefault="00773556" w:rsidP="00773556">
      <w:pPr>
        <w:pStyle w:val="FootnoteText"/>
        <w:rPr>
          <w:rFonts w:ascii="Times New Roman" w:hAnsi="Times New Roman" w:cs="Times New Roman"/>
          <w:lang w:val="fr-FR"/>
        </w:rPr>
      </w:pPr>
      <w:r w:rsidRPr="00085FA6">
        <w:rPr>
          <w:rStyle w:val="FootnoteReference"/>
          <w:rFonts w:ascii="Times New Roman" w:hAnsi="Times New Roman" w:cs="Times New Roman"/>
        </w:rPr>
        <w:footnoteRef/>
      </w:r>
      <w:r w:rsidRPr="007A4205">
        <w:rPr>
          <w:rFonts w:ascii="Times New Roman" w:hAnsi="Times New Roman" w:cs="Times New Roman"/>
          <w:lang w:val="fr-FR"/>
        </w:rPr>
        <w:t xml:space="preserve"> </w:t>
      </w:r>
      <w:hyperlink r:id="rId6" w:history="1">
        <w:r w:rsidRPr="007A4205">
          <w:rPr>
            <w:rStyle w:val="Hyperlink"/>
            <w:rFonts w:ascii="Times New Roman" w:hAnsi="Times New Roman" w:cs="Times New Roman"/>
            <w:lang w:val="fr-FR"/>
          </w:rPr>
          <w:t>http://www.gks.ru/wps/wcm/connect/rosstat_main/rosstat/ru/statistics/accounts/</w:t>
        </w:r>
      </w:hyperlink>
      <w:r w:rsidRPr="007A4205">
        <w:rPr>
          <w:rFonts w:ascii="Times New Roman" w:hAnsi="Times New Roman" w:cs="Times New Roman"/>
          <w:lang w:val="fr-FR"/>
        </w:rPr>
        <w:t xml:space="preserve"> </w:t>
      </w:r>
    </w:p>
  </w:footnote>
  <w:footnote w:id="17">
    <w:p w:rsidR="00773556" w:rsidRPr="007A4205" w:rsidRDefault="00773556" w:rsidP="00773556">
      <w:pPr>
        <w:pStyle w:val="FootnoteText"/>
        <w:rPr>
          <w:rFonts w:ascii="Times New Roman" w:hAnsi="Times New Roman" w:cs="Times New Roman"/>
          <w:lang w:val="fr-FR"/>
        </w:rPr>
      </w:pPr>
      <w:r w:rsidRPr="00085FA6">
        <w:rPr>
          <w:rStyle w:val="FootnoteReference"/>
          <w:rFonts w:ascii="Times New Roman" w:hAnsi="Times New Roman" w:cs="Times New Roman"/>
        </w:rPr>
        <w:footnoteRef/>
      </w:r>
      <w:r w:rsidRPr="007A4205">
        <w:rPr>
          <w:rFonts w:ascii="Times New Roman" w:hAnsi="Times New Roman" w:cs="Times New Roman"/>
          <w:lang w:val="fr-FR"/>
        </w:rPr>
        <w:t xml:space="preserve"> </w:t>
      </w:r>
      <w:hyperlink r:id="rId7" w:history="1">
        <w:r w:rsidRPr="007A4205">
          <w:rPr>
            <w:rStyle w:val="Hyperlink"/>
            <w:rFonts w:ascii="Times New Roman" w:hAnsi="Times New Roman" w:cs="Times New Roman"/>
            <w:lang w:val="fr-FR"/>
          </w:rPr>
          <w:t>http://www.gks.ru/bgd/regl/b11_06/IssWWW.exe/Stg/d04/17-01-1.htm</w:t>
        </w:r>
      </w:hyperlink>
      <w:r w:rsidRPr="007A4205">
        <w:rPr>
          <w:rFonts w:ascii="Times New Roman" w:hAnsi="Times New Roman" w:cs="Times New Roman"/>
          <w:lang w:val="fr-FR"/>
        </w:rPr>
        <w:t xml:space="preserve"> </w:t>
      </w:r>
    </w:p>
  </w:footnote>
  <w:footnote w:id="18">
    <w:p w:rsidR="00773556" w:rsidRPr="007A4205" w:rsidRDefault="00773556" w:rsidP="00773556">
      <w:pPr>
        <w:pStyle w:val="FootnoteText"/>
        <w:rPr>
          <w:rFonts w:ascii="Times New Roman" w:hAnsi="Times New Roman" w:cs="Times New Roman"/>
          <w:lang w:val="fr-FR"/>
        </w:rPr>
      </w:pPr>
      <w:r w:rsidRPr="00085FA6">
        <w:rPr>
          <w:rStyle w:val="FootnoteReference"/>
          <w:rFonts w:ascii="Times New Roman" w:hAnsi="Times New Roman" w:cs="Times New Roman"/>
        </w:rPr>
        <w:footnoteRef/>
      </w:r>
      <w:r w:rsidRPr="007A4205">
        <w:rPr>
          <w:rFonts w:ascii="Times New Roman" w:hAnsi="Times New Roman" w:cs="Times New Roman"/>
          <w:lang w:val="fr-FR"/>
        </w:rPr>
        <w:t xml:space="preserve"> </w:t>
      </w:r>
      <w:hyperlink r:id="rId8" w:history="1">
        <w:r w:rsidRPr="007A4205">
          <w:rPr>
            <w:rStyle w:val="Hyperlink"/>
            <w:rFonts w:ascii="Times New Roman" w:hAnsi="Times New Roman" w:cs="Times New Roman"/>
            <w:lang w:val="fr-FR"/>
          </w:rPr>
          <w:t>http://www.gks.ru/wps/wcm/connect/rosstat_main/rosstat/ru/statistics/accounts/#</w:t>
        </w:r>
      </w:hyperlink>
      <w:r w:rsidRPr="007A4205">
        <w:rPr>
          <w:rFonts w:ascii="Times New Roman" w:hAnsi="Times New Roman" w:cs="Times New Roman"/>
          <w:lang w:val="fr-FR"/>
        </w:rPr>
        <w:t xml:space="preserve"> </w:t>
      </w:r>
    </w:p>
  </w:footnote>
  <w:footnote w:id="19">
    <w:p w:rsidR="00773556" w:rsidRPr="008518A4" w:rsidRDefault="00773556" w:rsidP="00773556">
      <w:pPr>
        <w:pStyle w:val="FootnoteText"/>
        <w:rPr>
          <w:rFonts w:ascii="Times New Roman" w:hAnsi="Times New Roman" w:cs="Times New Roman"/>
          <w:lang w:val="fr-FR"/>
        </w:rPr>
      </w:pPr>
      <w:r>
        <w:rPr>
          <w:rStyle w:val="FootnoteReference"/>
        </w:rPr>
        <w:footnoteRef/>
      </w:r>
      <w:r w:rsidRPr="00EA133B">
        <w:rPr>
          <w:lang w:val="en-US"/>
        </w:rPr>
        <w:t xml:space="preserve"> </w:t>
      </w:r>
      <w:proofErr w:type="gramStart"/>
      <w:r w:rsidRPr="00EA133B">
        <w:rPr>
          <w:rFonts w:ascii="Times New Roman" w:hAnsi="Times New Roman" w:cs="Times New Roman"/>
          <w:lang w:val="en-US"/>
        </w:rPr>
        <w:t>Russia country profile prepared by Black and Veatch (B&amp;V) for the European Bank for Reconstruction and Development.</w:t>
      </w:r>
      <w:proofErr w:type="gramEnd"/>
      <w:r>
        <w:rPr>
          <w:rFonts w:ascii="Times New Roman" w:hAnsi="Times New Roman" w:cs="Times New Roman"/>
          <w:lang w:val="en-US"/>
        </w:rPr>
        <w:t xml:space="preserve"> </w:t>
      </w:r>
      <w:r w:rsidRPr="00EA133B">
        <w:rPr>
          <w:rFonts w:ascii="Times New Roman" w:hAnsi="Times New Roman" w:cs="Times New Roman"/>
          <w:lang w:val="en-US"/>
        </w:rPr>
        <w:t xml:space="preserve"> </w:t>
      </w:r>
      <w:hyperlink r:id="rId9" w:history="1">
        <w:r w:rsidRPr="008518A4">
          <w:rPr>
            <w:rStyle w:val="Hyperlink"/>
            <w:rFonts w:ascii="Times New Roman" w:hAnsi="Times New Roman" w:cs="Times New Roman"/>
            <w:lang w:val="fr-FR"/>
          </w:rPr>
          <w:t>http://storage.globalcitizen.net/data/topic/knowledge/uploads/20111011161523705.pdf</w:t>
        </w:r>
      </w:hyperlink>
      <w:r w:rsidRPr="008518A4">
        <w:rPr>
          <w:rFonts w:ascii="Times New Roman" w:hAnsi="Times New Roman" w:cs="Times New Roman"/>
          <w:lang w:val="fr-FR"/>
        </w:rPr>
        <w:t xml:space="preserve"> </w:t>
      </w:r>
    </w:p>
  </w:footnote>
  <w:footnote w:id="20">
    <w:p w:rsidR="00773556" w:rsidRPr="003F26F3" w:rsidRDefault="00773556" w:rsidP="00773556">
      <w:pPr>
        <w:pStyle w:val="FootnoteText"/>
        <w:rPr>
          <w:rFonts w:ascii="Times New Roman" w:hAnsi="Times New Roman" w:cs="Times New Roman"/>
          <w:lang w:val="fr-FR"/>
        </w:rPr>
      </w:pPr>
      <w:r w:rsidRPr="003F26F3">
        <w:rPr>
          <w:rStyle w:val="FootnoteReference"/>
          <w:rFonts w:ascii="Times New Roman" w:hAnsi="Times New Roman" w:cs="Times New Roman"/>
        </w:rPr>
        <w:footnoteRef/>
      </w:r>
      <w:r w:rsidRPr="003F26F3">
        <w:rPr>
          <w:rFonts w:ascii="Times New Roman" w:hAnsi="Times New Roman" w:cs="Times New Roman"/>
          <w:lang w:val="fr-FR"/>
        </w:rPr>
        <w:t xml:space="preserve"> Source: </w:t>
      </w:r>
      <w:hyperlink r:id="rId10" w:history="1">
        <w:r w:rsidRPr="002C1604">
          <w:rPr>
            <w:rStyle w:val="Hyperlink"/>
            <w:rFonts w:ascii="Times New Roman" w:hAnsi="Times New Roman" w:cs="Times New Roman"/>
            <w:lang w:val="fr-FR"/>
          </w:rPr>
          <w:t>http://www.sras.org/the_medvedev_economy</w:t>
        </w:r>
      </w:hyperlink>
      <w:r>
        <w:rPr>
          <w:rFonts w:ascii="Times New Roman" w:hAnsi="Times New Roman" w:cs="Times New Roman"/>
          <w:lang w:val="fr-FR"/>
        </w:rPr>
        <w:t xml:space="preserve"> </w:t>
      </w:r>
    </w:p>
  </w:footnote>
  <w:footnote w:id="21">
    <w:p w:rsidR="00773556" w:rsidRPr="00E8155B" w:rsidRDefault="00773556" w:rsidP="00773556">
      <w:pPr>
        <w:pStyle w:val="FootnoteText"/>
        <w:rPr>
          <w:lang w:val="en-US"/>
        </w:rPr>
      </w:pPr>
      <w:r>
        <w:rPr>
          <w:rStyle w:val="FootnoteReference"/>
        </w:rPr>
        <w:footnoteRef/>
      </w:r>
      <w:r w:rsidRPr="00E8155B">
        <w:rPr>
          <w:lang w:val="en-US"/>
        </w:rPr>
        <w:t xml:space="preserve"> </w:t>
      </w:r>
      <w:r w:rsidRPr="00E8155B">
        <w:rPr>
          <w:rFonts w:ascii="Times New Roman" w:hAnsi="Times New Roman" w:cs="Times New Roman"/>
          <w:lang w:val="en-US"/>
        </w:rPr>
        <w:t xml:space="preserve">No sources were found. </w:t>
      </w:r>
    </w:p>
  </w:footnote>
  <w:footnote w:id="22">
    <w:p w:rsidR="00773556" w:rsidRPr="004B61D8" w:rsidRDefault="00773556" w:rsidP="00773556">
      <w:pPr>
        <w:pStyle w:val="FootnoteText"/>
        <w:rPr>
          <w:rFonts w:ascii="Times New Roman" w:hAnsi="Times New Roman" w:cs="Times New Roman"/>
          <w:lang w:val="en-US"/>
        </w:rPr>
      </w:pPr>
      <w:r w:rsidRPr="004B61D8">
        <w:rPr>
          <w:rStyle w:val="FootnoteReference"/>
          <w:rFonts w:ascii="Times New Roman" w:hAnsi="Times New Roman" w:cs="Times New Roman"/>
        </w:rPr>
        <w:footnoteRef/>
      </w:r>
      <w:r w:rsidRPr="004B61D8">
        <w:rPr>
          <w:rFonts w:ascii="Times New Roman" w:hAnsi="Times New Roman" w:cs="Times New Roman"/>
          <w:lang w:val="en-US"/>
        </w:rPr>
        <w:t xml:space="preserve"> CHP/DHC Country Profile: Russia (The international CHP/DHC Collaborative</w:t>
      </w:r>
      <w:r>
        <w:rPr>
          <w:rFonts w:ascii="Times New Roman" w:hAnsi="Times New Roman" w:cs="Times New Roman"/>
          <w:lang w:val="en-US"/>
        </w:rPr>
        <w:t>)</w:t>
      </w:r>
      <w:r w:rsidRPr="004B61D8">
        <w:rPr>
          <w:rFonts w:ascii="Times New Roman" w:hAnsi="Times New Roman" w:cs="Times New Roman"/>
          <w:lang w:val="en-US"/>
        </w:rPr>
        <w:t xml:space="preserve">. </w:t>
      </w:r>
    </w:p>
  </w:footnote>
  <w:footnote w:id="23">
    <w:p w:rsidR="00773556" w:rsidRPr="00F17E19" w:rsidRDefault="00773556" w:rsidP="00773556">
      <w:pPr>
        <w:pStyle w:val="FootnoteText"/>
        <w:rPr>
          <w:rFonts w:ascii="Times New Roman" w:hAnsi="Times New Roman" w:cs="Times New Roman"/>
          <w:lang w:val="en-US"/>
        </w:rPr>
      </w:pPr>
      <w:r w:rsidRPr="00085FA6">
        <w:rPr>
          <w:rStyle w:val="FootnoteReference"/>
          <w:rFonts w:ascii="Times New Roman" w:hAnsi="Times New Roman" w:cs="Times New Roman"/>
        </w:rPr>
        <w:footnoteRef/>
      </w:r>
      <w:r w:rsidRPr="00F17E19">
        <w:rPr>
          <w:rFonts w:ascii="Times New Roman" w:hAnsi="Times New Roman" w:cs="Times New Roman"/>
          <w:lang w:val="en-US"/>
        </w:rPr>
        <w:t xml:space="preserve"> </w:t>
      </w:r>
      <w:hyperlink r:id="rId11" w:history="1">
        <w:r w:rsidRPr="00F17E19">
          <w:rPr>
            <w:rFonts w:ascii="Times New Roman" w:hAnsi="Times New Roman" w:cs="Times New Roman"/>
            <w:color w:val="0000FF"/>
            <w:u w:val="single"/>
            <w:lang w:val="en-US"/>
          </w:rPr>
          <w:t>http://www.eegas.com/fsu.htm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939"/>
    <w:multiLevelType w:val="hybridMultilevel"/>
    <w:tmpl w:val="A42CB7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D2A366A"/>
    <w:multiLevelType w:val="multilevel"/>
    <w:tmpl w:val="0CFEB1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82"/>
        </w:tabs>
        <w:ind w:left="482" w:hanging="482"/>
      </w:pPr>
      <w:rPr>
        <w:rFonts w:hint="default"/>
      </w:rPr>
    </w:lvl>
    <w:lvl w:ilvl="2">
      <w:start w:val="1"/>
      <w:numFmt w:val="none"/>
      <w:lvlText w:val="-"/>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6AD83202"/>
    <w:multiLevelType w:val="hybridMultilevel"/>
    <w:tmpl w:val="83C83244"/>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56"/>
    <w:rsid w:val="000352FC"/>
    <w:rsid w:val="00036B17"/>
    <w:rsid w:val="00773556"/>
    <w:rsid w:val="00C83066"/>
    <w:rsid w:val="00D70D9F"/>
    <w:rsid w:val="00E45980"/>
    <w:rsid w:val="00F219C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73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735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35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35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5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735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35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355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73556"/>
    <w:rPr>
      <w:color w:val="0000FF" w:themeColor="hyperlink"/>
      <w:u w:val="single"/>
    </w:rPr>
  </w:style>
  <w:style w:type="character" w:styleId="Emphasis">
    <w:name w:val="Emphasis"/>
    <w:basedOn w:val="DefaultParagraphFont"/>
    <w:uiPriority w:val="20"/>
    <w:qFormat/>
    <w:rsid w:val="00773556"/>
    <w:rPr>
      <w:i/>
      <w:iCs/>
    </w:rPr>
  </w:style>
  <w:style w:type="paragraph" w:styleId="Header">
    <w:name w:val="header"/>
    <w:basedOn w:val="Normal"/>
    <w:link w:val="HeaderChar"/>
    <w:uiPriority w:val="99"/>
    <w:unhideWhenUsed/>
    <w:rsid w:val="00773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3556"/>
  </w:style>
  <w:style w:type="paragraph" w:styleId="Footer">
    <w:name w:val="footer"/>
    <w:basedOn w:val="Normal"/>
    <w:link w:val="FooterChar"/>
    <w:uiPriority w:val="99"/>
    <w:unhideWhenUsed/>
    <w:rsid w:val="00773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3556"/>
  </w:style>
  <w:style w:type="paragraph" w:styleId="FootnoteText">
    <w:name w:val="footnote text"/>
    <w:basedOn w:val="Normal"/>
    <w:link w:val="FootnoteTextChar"/>
    <w:uiPriority w:val="99"/>
    <w:semiHidden/>
    <w:unhideWhenUsed/>
    <w:rsid w:val="00773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556"/>
    <w:rPr>
      <w:sz w:val="20"/>
      <w:szCs w:val="20"/>
    </w:rPr>
  </w:style>
  <w:style w:type="character" w:styleId="FootnoteReference">
    <w:name w:val="footnote reference"/>
    <w:basedOn w:val="DefaultParagraphFont"/>
    <w:uiPriority w:val="99"/>
    <w:semiHidden/>
    <w:unhideWhenUsed/>
    <w:rsid w:val="00773556"/>
    <w:rPr>
      <w:vertAlign w:val="superscript"/>
    </w:rPr>
  </w:style>
  <w:style w:type="paragraph" w:styleId="ListParagraph">
    <w:name w:val="List Paragraph"/>
    <w:basedOn w:val="Normal"/>
    <w:uiPriority w:val="34"/>
    <w:qFormat/>
    <w:rsid w:val="00773556"/>
    <w:pPr>
      <w:ind w:left="720"/>
      <w:contextualSpacing/>
    </w:pPr>
  </w:style>
  <w:style w:type="character" w:customStyle="1" w:styleId="apple-converted-space">
    <w:name w:val="apple-converted-space"/>
    <w:basedOn w:val="DefaultParagraphFont"/>
    <w:rsid w:val="00773556"/>
  </w:style>
  <w:style w:type="character" w:styleId="CommentReference">
    <w:name w:val="annotation reference"/>
    <w:basedOn w:val="DefaultParagraphFont"/>
    <w:uiPriority w:val="99"/>
    <w:semiHidden/>
    <w:unhideWhenUsed/>
    <w:rsid w:val="00773556"/>
    <w:rPr>
      <w:sz w:val="16"/>
      <w:szCs w:val="16"/>
    </w:rPr>
  </w:style>
  <w:style w:type="paragraph" w:styleId="CommentText">
    <w:name w:val="annotation text"/>
    <w:basedOn w:val="Normal"/>
    <w:link w:val="CommentTextChar"/>
    <w:uiPriority w:val="99"/>
    <w:unhideWhenUsed/>
    <w:rsid w:val="00773556"/>
    <w:pPr>
      <w:spacing w:line="240" w:lineRule="auto"/>
    </w:pPr>
    <w:rPr>
      <w:sz w:val="20"/>
      <w:szCs w:val="20"/>
    </w:rPr>
  </w:style>
  <w:style w:type="character" w:customStyle="1" w:styleId="CommentTextChar">
    <w:name w:val="Comment Text Char"/>
    <w:basedOn w:val="DefaultParagraphFont"/>
    <w:link w:val="CommentText"/>
    <w:uiPriority w:val="99"/>
    <w:rsid w:val="00773556"/>
    <w:rPr>
      <w:sz w:val="20"/>
      <w:szCs w:val="20"/>
    </w:rPr>
  </w:style>
  <w:style w:type="paragraph" w:styleId="CommentSubject">
    <w:name w:val="annotation subject"/>
    <w:basedOn w:val="CommentText"/>
    <w:next w:val="CommentText"/>
    <w:link w:val="CommentSubjectChar"/>
    <w:uiPriority w:val="99"/>
    <w:semiHidden/>
    <w:unhideWhenUsed/>
    <w:rsid w:val="00773556"/>
    <w:rPr>
      <w:b/>
      <w:bCs/>
    </w:rPr>
  </w:style>
  <w:style w:type="character" w:customStyle="1" w:styleId="CommentSubjectChar">
    <w:name w:val="Comment Subject Char"/>
    <w:basedOn w:val="CommentTextChar"/>
    <w:link w:val="CommentSubject"/>
    <w:uiPriority w:val="99"/>
    <w:semiHidden/>
    <w:rsid w:val="00773556"/>
    <w:rPr>
      <w:b/>
      <w:bCs/>
      <w:sz w:val="20"/>
      <w:szCs w:val="20"/>
    </w:rPr>
  </w:style>
  <w:style w:type="paragraph" w:styleId="BalloonText">
    <w:name w:val="Balloon Text"/>
    <w:basedOn w:val="Normal"/>
    <w:link w:val="BalloonTextChar"/>
    <w:uiPriority w:val="99"/>
    <w:semiHidden/>
    <w:unhideWhenUsed/>
    <w:rsid w:val="00773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556"/>
    <w:rPr>
      <w:rFonts w:ascii="Tahoma" w:hAnsi="Tahoma" w:cs="Tahoma"/>
      <w:sz w:val="16"/>
      <w:szCs w:val="16"/>
    </w:rPr>
  </w:style>
  <w:style w:type="paragraph" w:styleId="EndnoteText">
    <w:name w:val="endnote text"/>
    <w:basedOn w:val="Normal"/>
    <w:link w:val="EndnoteTextChar"/>
    <w:semiHidden/>
    <w:unhideWhenUsed/>
    <w:rsid w:val="00773556"/>
    <w:pPr>
      <w:spacing w:after="0" w:line="240" w:lineRule="auto"/>
    </w:pPr>
    <w:rPr>
      <w:sz w:val="20"/>
      <w:szCs w:val="20"/>
    </w:rPr>
  </w:style>
  <w:style w:type="character" w:customStyle="1" w:styleId="EndnoteTextChar">
    <w:name w:val="Endnote Text Char"/>
    <w:basedOn w:val="DefaultParagraphFont"/>
    <w:link w:val="EndnoteText"/>
    <w:semiHidden/>
    <w:rsid w:val="00773556"/>
    <w:rPr>
      <w:sz w:val="20"/>
      <w:szCs w:val="20"/>
    </w:rPr>
  </w:style>
  <w:style w:type="character" w:styleId="EndnoteReference">
    <w:name w:val="endnote reference"/>
    <w:basedOn w:val="DefaultParagraphFont"/>
    <w:semiHidden/>
    <w:unhideWhenUsed/>
    <w:rsid w:val="00773556"/>
    <w:rPr>
      <w:vertAlign w:val="superscript"/>
    </w:rPr>
  </w:style>
  <w:style w:type="paragraph" w:styleId="TOCHeading">
    <w:name w:val="TOC Heading"/>
    <w:basedOn w:val="Heading1"/>
    <w:next w:val="Normal"/>
    <w:uiPriority w:val="39"/>
    <w:semiHidden/>
    <w:unhideWhenUsed/>
    <w:qFormat/>
    <w:rsid w:val="00773556"/>
    <w:pPr>
      <w:outlineLvl w:val="9"/>
    </w:pPr>
    <w:rPr>
      <w:lang w:val="en-US" w:eastAsia="ja-JP"/>
    </w:rPr>
  </w:style>
  <w:style w:type="paragraph" w:styleId="TOC2">
    <w:name w:val="toc 2"/>
    <w:basedOn w:val="Normal"/>
    <w:next w:val="Normal"/>
    <w:autoRedefine/>
    <w:uiPriority w:val="39"/>
    <w:unhideWhenUsed/>
    <w:qFormat/>
    <w:rsid w:val="00773556"/>
    <w:pPr>
      <w:spacing w:after="100"/>
      <w:ind w:left="220"/>
    </w:pPr>
    <w:rPr>
      <w:lang w:val="en-US" w:eastAsia="ja-JP"/>
    </w:rPr>
  </w:style>
  <w:style w:type="paragraph" w:styleId="TOC1">
    <w:name w:val="toc 1"/>
    <w:basedOn w:val="Normal"/>
    <w:next w:val="Normal"/>
    <w:autoRedefine/>
    <w:uiPriority w:val="39"/>
    <w:unhideWhenUsed/>
    <w:qFormat/>
    <w:rsid w:val="00773556"/>
    <w:pPr>
      <w:spacing w:after="100"/>
    </w:pPr>
    <w:rPr>
      <w:lang w:val="en-US" w:eastAsia="ja-JP"/>
    </w:rPr>
  </w:style>
  <w:style w:type="paragraph" w:styleId="TOC3">
    <w:name w:val="toc 3"/>
    <w:basedOn w:val="Normal"/>
    <w:next w:val="Normal"/>
    <w:autoRedefine/>
    <w:uiPriority w:val="39"/>
    <w:unhideWhenUsed/>
    <w:qFormat/>
    <w:rsid w:val="00773556"/>
    <w:pPr>
      <w:spacing w:after="100"/>
      <w:ind w:left="440"/>
    </w:pPr>
    <w:rPr>
      <w:lang w:val="en-US" w:eastAsia="ja-JP"/>
    </w:rPr>
  </w:style>
  <w:style w:type="paragraph" w:styleId="Bibliography">
    <w:name w:val="Bibliography"/>
    <w:basedOn w:val="Normal"/>
    <w:next w:val="Normal"/>
    <w:uiPriority w:val="37"/>
    <w:unhideWhenUsed/>
    <w:rsid w:val="00773556"/>
  </w:style>
  <w:style w:type="table" w:styleId="TableGrid">
    <w:name w:val="Table Grid"/>
    <w:basedOn w:val="TableNormal"/>
    <w:uiPriority w:val="59"/>
    <w:rsid w:val="00773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735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7355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7355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773556"/>
    <w:pPr>
      <w:spacing w:after="0" w:line="240" w:lineRule="auto"/>
    </w:pPr>
  </w:style>
  <w:style w:type="character" w:styleId="FollowedHyperlink">
    <w:name w:val="FollowedHyperlink"/>
    <w:basedOn w:val="DefaultParagraphFont"/>
    <w:uiPriority w:val="99"/>
    <w:semiHidden/>
    <w:unhideWhenUsed/>
    <w:rsid w:val="00773556"/>
    <w:rPr>
      <w:color w:val="800080" w:themeColor="followedHyperlink"/>
      <w:u w:val="single"/>
    </w:rPr>
  </w:style>
  <w:style w:type="paragraph" w:customStyle="1" w:styleId="EESubheadingB">
    <w:name w:val="EE Subheading B"/>
    <w:basedOn w:val="Heading3"/>
    <w:next w:val="EEFirstParagraph"/>
    <w:rsid w:val="00773556"/>
    <w:pPr>
      <w:keepLines w:val="0"/>
      <w:spacing w:before="240" w:after="240" w:line="240" w:lineRule="exact"/>
    </w:pPr>
    <w:rPr>
      <w:rFonts w:ascii="Times" w:eastAsia="Times New Roman" w:hAnsi="Times" w:cs="Arial"/>
      <w:color w:val="auto"/>
      <w:sz w:val="20"/>
      <w:szCs w:val="26"/>
      <w:lang w:val="en-GB" w:eastAsia="en-US"/>
    </w:rPr>
  </w:style>
  <w:style w:type="paragraph" w:customStyle="1" w:styleId="EEFirstParagraph">
    <w:name w:val="EE FirstParagraph"/>
    <w:basedOn w:val="Normal"/>
    <w:next w:val="EEParagraph"/>
    <w:link w:val="EEFirstParagraphChar"/>
    <w:rsid w:val="00773556"/>
    <w:pPr>
      <w:spacing w:after="0" w:line="240" w:lineRule="exact"/>
      <w:jc w:val="both"/>
    </w:pPr>
    <w:rPr>
      <w:rFonts w:ascii="Times" w:eastAsia="Times New Roman" w:hAnsi="Times" w:cs="Times New Roman"/>
      <w:sz w:val="20"/>
      <w:szCs w:val="20"/>
      <w:lang w:val="en-GB" w:eastAsia="en-US"/>
    </w:rPr>
  </w:style>
  <w:style w:type="paragraph" w:customStyle="1" w:styleId="EEParagraph">
    <w:name w:val="EE Paragraph"/>
    <w:basedOn w:val="Normal"/>
    <w:rsid w:val="00773556"/>
    <w:pPr>
      <w:spacing w:after="0" w:line="240" w:lineRule="exact"/>
      <w:ind w:firstLine="240"/>
      <w:jc w:val="both"/>
    </w:pPr>
    <w:rPr>
      <w:rFonts w:ascii="Times" w:eastAsia="Times New Roman" w:hAnsi="Times" w:cs="Times New Roman"/>
      <w:sz w:val="20"/>
      <w:szCs w:val="20"/>
      <w:lang w:val="en-GB" w:eastAsia="en-US"/>
    </w:rPr>
  </w:style>
  <w:style w:type="paragraph" w:customStyle="1" w:styleId="EESubheadingA">
    <w:name w:val="EE Subheading A"/>
    <w:basedOn w:val="Heading2"/>
    <w:next w:val="EEFirstParagraph"/>
    <w:rsid w:val="00773556"/>
    <w:pPr>
      <w:keepLines w:val="0"/>
      <w:numPr>
        <w:ilvl w:val="1"/>
      </w:numPr>
      <w:tabs>
        <w:tab w:val="num" w:pos="482"/>
      </w:tabs>
      <w:spacing w:before="480" w:after="240" w:line="240" w:lineRule="auto"/>
      <w:ind w:left="482" w:hanging="482"/>
    </w:pPr>
    <w:rPr>
      <w:rFonts w:ascii="Times" w:eastAsia="Times New Roman" w:hAnsi="Times" w:cs="Arial"/>
      <w:b w:val="0"/>
      <w:iCs/>
      <w:caps/>
      <w:color w:val="auto"/>
      <w:sz w:val="24"/>
      <w:szCs w:val="24"/>
      <w:lang w:val="en-GB" w:eastAsia="en-US"/>
    </w:rPr>
  </w:style>
  <w:style w:type="paragraph" w:customStyle="1" w:styleId="MTDisplayEquation">
    <w:name w:val="MTDisplayEquation"/>
    <w:basedOn w:val="EEParagraph"/>
    <w:next w:val="EEFirstParagraph"/>
    <w:rsid w:val="00773556"/>
    <w:pPr>
      <w:tabs>
        <w:tab w:val="center" w:pos="3120"/>
        <w:tab w:val="right" w:pos="6240"/>
      </w:tabs>
      <w:spacing w:before="240" w:after="240" w:line="240" w:lineRule="auto"/>
    </w:pPr>
  </w:style>
  <w:style w:type="paragraph" w:customStyle="1" w:styleId="EEEquation">
    <w:name w:val="EE Equation"/>
    <w:basedOn w:val="MTDisplayEquation"/>
    <w:rsid w:val="00773556"/>
  </w:style>
  <w:style w:type="character" w:customStyle="1" w:styleId="EEFirstParagraphChar">
    <w:name w:val="EE FirstParagraph Char"/>
    <w:link w:val="EEFirstParagraph"/>
    <w:rsid w:val="00773556"/>
    <w:rPr>
      <w:rFonts w:ascii="Times" w:eastAsia="Times New Roman" w:hAnsi="Times" w:cs="Times New Roman"/>
      <w:sz w:val="20"/>
      <w:szCs w:val="20"/>
      <w:lang w:val="en-GB" w:eastAsia="en-US"/>
    </w:rPr>
  </w:style>
  <w:style w:type="character" w:customStyle="1" w:styleId="MTEquationSection">
    <w:name w:val="MTEquationSection"/>
    <w:rsid w:val="00773556"/>
    <w:rPr>
      <w:vanish/>
      <w:color w:val="FF0000"/>
    </w:rPr>
  </w:style>
  <w:style w:type="numbering" w:customStyle="1" w:styleId="NoList1">
    <w:name w:val="No List1"/>
    <w:next w:val="NoList"/>
    <w:uiPriority w:val="99"/>
    <w:semiHidden/>
    <w:unhideWhenUsed/>
    <w:rsid w:val="00773556"/>
  </w:style>
  <w:style w:type="paragraph" w:customStyle="1" w:styleId="xl70">
    <w:name w:val="xl70"/>
    <w:basedOn w:val="Normal"/>
    <w:rsid w:val="0077355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Normal"/>
    <w:rsid w:val="0077355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5">
    <w:name w:val="xl65"/>
    <w:basedOn w:val="Normal"/>
    <w:rsid w:val="0077355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Normal"/>
    <w:rsid w:val="00773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7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8">
    <w:name w:val="xl68"/>
    <w:basedOn w:val="Normal"/>
    <w:rsid w:val="0077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9">
    <w:name w:val="xl69"/>
    <w:basedOn w:val="Normal"/>
    <w:rsid w:val="0077355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2">
    <w:name w:val="xl72"/>
    <w:basedOn w:val="Normal"/>
    <w:rsid w:val="0077355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3">
    <w:name w:val="xl73"/>
    <w:basedOn w:val="Normal"/>
    <w:rsid w:val="0077355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4">
    <w:name w:val="xl74"/>
    <w:basedOn w:val="Normal"/>
    <w:rsid w:val="0077355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5">
    <w:name w:val="xl75"/>
    <w:basedOn w:val="Normal"/>
    <w:rsid w:val="0077355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Normal"/>
    <w:rsid w:val="0077355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7">
    <w:name w:val="xl77"/>
    <w:basedOn w:val="Normal"/>
    <w:rsid w:val="0077355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8">
    <w:name w:val="xl78"/>
    <w:basedOn w:val="Normal"/>
    <w:rsid w:val="0077355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5">
    <w:name w:val="font5"/>
    <w:basedOn w:val="Normal"/>
    <w:rsid w:val="00773556"/>
    <w:pPr>
      <w:spacing w:before="100" w:beforeAutospacing="1" w:after="100" w:afterAutospacing="1" w:line="240" w:lineRule="auto"/>
    </w:pPr>
    <w:rPr>
      <w:rFonts w:ascii="Times New Roman" w:eastAsia="Times New Roman" w:hAnsi="Times New Roman" w:cs="Times New Roman"/>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73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735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35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35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5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735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35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355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73556"/>
    <w:rPr>
      <w:color w:val="0000FF" w:themeColor="hyperlink"/>
      <w:u w:val="single"/>
    </w:rPr>
  </w:style>
  <w:style w:type="character" w:styleId="Emphasis">
    <w:name w:val="Emphasis"/>
    <w:basedOn w:val="DefaultParagraphFont"/>
    <w:uiPriority w:val="20"/>
    <w:qFormat/>
    <w:rsid w:val="00773556"/>
    <w:rPr>
      <w:i/>
      <w:iCs/>
    </w:rPr>
  </w:style>
  <w:style w:type="paragraph" w:styleId="Header">
    <w:name w:val="header"/>
    <w:basedOn w:val="Normal"/>
    <w:link w:val="HeaderChar"/>
    <w:uiPriority w:val="99"/>
    <w:unhideWhenUsed/>
    <w:rsid w:val="00773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3556"/>
  </w:style>
  <w:style w:type="paragraph" w:styleId="Footer">
    <w:name w:val="footer"/>
    <w:basedOn w:val="Normal"/>
    <w:link w:val="FooterChar"/>
    <w:uiPriority w:val="99"/>
    <w:unhideWhenUsed/>
    <w:rsid w:val="00773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3556"/>
  </w:style>
  <w:style w:type="paragraph" w:styleId="FootnoteText">
    <w:name w:val="footnote text"/>
    <w:basedOn w:val="Normal"/>
    <w:link w:val="FootnoteTextChar"/>
    <w:uiPriority w:val="99"/>
    <w:semiHidden/>
    <w:unhideWhenUsed/>
    <w:rsid w:val="00773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556"/>
    <w:rPr>
      <w:sz w:val="20"/>
      <w:szCs w:val="20"/>
    </w:rPr>
  </w:style>
  <w:style w:type="character" w:styleId="FootnoteReference">
    <w:name w:val="footnote reference"/>
    <w:basedOn w:val="DefaultParagraphFont"/>
    <w:uiPriority w:val="99"/>
    <w:semiHidden/>
    <w:unhideWhenUsed/>
    <w:rsid w:val="00773556"/>
    <w:rPr>
      <w:vertAlign w:val="superscript"/>
    </w:rPr>
  </w:style>
  <w:style w:type="paragraph" w:styleId="ListParagraph">
    <w:name w:val="List Paragraph"/>
    <w:basedOn w:val="Normal"/>
    <w:uiPriority w:val="34"/>
    <w:qFormat/>
    <w:rsid w:val="00773556"/>
    <w:pPr>
      <w:ind w:left="720"/>
      <w:contextualSpacing/>
    </w:pPr>
  </w:style>
  <w:style w:type="character" w:customStyle="1" w:styleId="apple-converted-space">
    <w:name w:val="apple-converted-space"/>
    <w:basedOn w:val="DefaultParagraphFont"/>
    <w:rsid w:val="00773556"/>
  </w:style>
  <w:style w:type="character" w:styleId="CommentReference">
    <w:name w:val="annotation reference"/>
    <w:basedOn w:val="DefaultParagraphFont"/>
    <w:uiPriority w:val="99"/>
    <w:semiHidden/>
    <w:unhideWhenUsed/>
    <w:rsid w:val="00773556"/>
    <w:rPr>
      <w:sz w:val="16"/>
      <w:szCs w:val="16"/>
    </w:rPr>
  </w:style>
  <w:style w:type="paragraph" w:styleId="CommentText">
    <w:name w:val="annotation text"/>
    <w:basedOn w:val="Normal"/>
    <w:link w:val="CommentTextChar"/>
    <w:uiPriority w:val="99"/>
    <w:unhideWhenUsed/>
    <w:rsid w:val="00773556"/>
    <w:pPr>
      <w:spacing w:line="240" w:lineRule="auto"/>
    </w:pPr>
    <w:rPr>
      <w:sz w:val="20"/>
      <w:szCs w:val="20"/>
    </w:rPr>
  </w:style>
  <w:style w:type="character" w:customStyle="1" w:styleId="CommentTextChar">
    <w:name w:val="Comment Text Char"/>
    <w:basedOn w:val="DefaultParagraphFont"/>
    <w:link w:val="CommentText"/>
    <w:uiPriority w:val="99"/>
    <w:rsid w:val="00773556"/>
    <w:rPr>
      <w:sz w:val="20"/>
      <w:szCs w:val="20"/>
    </w:rPr>
  </w:style>
  <w:style w:type="paragraph" w:styleId="CommentSubject">
    <w:name w:val="annotation subject"/>
    <w:basedOn w:val="CommentText"/>
    <w:next w:val="CommentText"/>
    <w:link w:val="CommentSubjectChar"/>
    <w:uiPriority w:val="99"/>
    <w:semiHidden/>
    <w:unhideWhenUsed/>
    <w:rsid w:val="00773556"/>
    <w:rPr>
      <w:b/>
      <w:bCs/>
    </w:rPr>
  </w:style>
  <w:style w:type="character" w:customStyle="1" w:styleId="CommentSubjectChar">
    <w:name w:val="Comment Subject Char"/>
    <w:basedOn w:val="CommentTextChar"/>
    <w:link w:val="CommentSubject"/>
    <w:uiPriority w:val="99"/>
    <w:semiHidden/>
    <w:rsid w:val="00773556"/>
    <w:rPr>
      <w:b/>
      <w:bCs/>
      <w:sz w:val="20"/>
      <w:szCs w:val="20"/>
    </w:rPr>
  </w:style>
  <w:style w:type="paragraph" w:styleId="BalloonText">
    <w:name w:val="Balloon Text"/>
    <w:basedOn w:val="Normal"/>
    <w:link w:val="BalloonTextChar"/>
    <w:uiPriority w:val="99"/>
    <w:semiHidden/>
    <w:unhideWhenUsed/>
    <w:rsid w:val="00773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556"/>
    <w:rPr>
      <w:rFonts w:ascii="Tahoma" w:hAnsi="Tahoma" w:cs="Tahoma"/>
      <w:sz w:val="16"/>
      <w:szCs w:val="16"/>
    </w:rPr>
  </w:style>
  <w:style w:type="paragraph" w:styleId="EndnoteText">
    <w:name w:val="endnote text"/>
    <w:basedOn w:val="Normal"/>
    <w:link w:val="EndnoteTextChar"/>
    <w:semiHidden/>
    <w:unhideWhenUsed/>
    <w:rsid w:val="00773556"/>
    <w:pPr>
      <w:spacing w:after="0" w:line="240" w:lineRule="auto"/>
    </w:pPr>
    <w:rPr>
      <w:sz w:val="20"/>
      <w:szCs w:val="20"/>
    </w:rPr>
  </w:style>
  <w:style w:type="character" w:customStyle="1" w:styleId="EndnoteTextChar">
    <w:name w:val="Endnote Text Char"/>
    <w:basedOn w:val="DefaultParagraphFont"/>
    <w:link w:val="EndnoteText"/>
    <w:semiHidden/>
    <w:rsid w:val="00773556"/>
    <w:rPr>
      <w:sz w:val="20"/>
      <w:szCs w:val="20"/>
    </w:rPr>
  </w:style>
  <w:style w:type="character" w:styleId="EndnoteReference">
    <w:name w:val="endnote reference"/>
    <w:basedOn w:val="DefaultParagraphFont"/>
    <w:semiHidden/>
    <w:unhideWhenUsed/>
    <w:rsid w:val="00773556"/>
    <w:rPr>
      <w:vertAlign w:val="superscript"/>
    </w:rPr>
  </w:style>
  <w:style w:type="paragraph" w:styleId="TOCHeading">
    <w:name w:val="TOC Heading"/>
    <w:basedOn w:val="Heading1"/>
    <w:next w:val="Normal"/>
    <w:uiPriority w:val="39"/>
    <w:semiHidden/>
    <w:unhideWhenUsed/>
    <w:qFormat/>
    <w:rsid w:val="00773556"/>
    <w:pPr>
      <w:outlineLvl w:val="9"/>
    </w:pPr>
    <w:rPr>
      <w:lang w:val="en-US" w:eastAsia="ja-JP"/>
    </w:rPr>
  </w:style>
  <w:style w:type="paragraph" w:styleId="TOC2">
    <w:name w:val="toc 2"/>
    <w:basedOn w:val="Normal"/>
    <w:next w:val="Normal"/>
    <w:autoRedefine/>
    <w:uiPriority w:val="39"/>
    <w:unhideWhenUsed/>
    <w:qFormat/>
    <w:rsid w:val="00773556"/>
    <w:pPr>
      <w:spacing w:after="100"/>
      <w:ind w:left="220"/>
    </w:pPr>
    <w:rPr>
      <w:lang w:val="en-US" w:eastAsia="ja-JP"/>
    </w:rPr>
  </w:style>
  <w:style w:type="paragraph" w:styleId="TOC1">
    <w:name w:val="toc 1"/>
    <w:basedOn w:val="Normal"/>
    <w:next w:val="Normal"/>
    <w:autoRedefine/>
    <w:uiPriority w:val="39"/>
    <w:unhideWhenUsed/>
    <w:qFormat/>
    <w:rsid w:val="00773556"/>
    <w:pPr>
      <w:spacing w:after="100"/>
    </w:pPr>
    <w:rPr>
      <w:lang w:val="en-US" w:eastAsia="ja-JP"/>
    </w:rPr>
  </w:style>
  <w:style w:type="paragraph" w:styleId="TOC3">
    <w:name w:val="toc 3"/>
    <w:basedOn w:val="Normal"/>
    <w:next w:val="Normal"/>
    <w:autoRedefine/>
    <w:uiPriority w:val="39"/>
    <w:unhideWhenUsed/>
    <w:qFormat/>
    <w:rsid w:val="00773556"/>
    <w:pPr>
      <w:spacing w:after="100"/>
      <w:ind w:left="440"/>
    </w:pPr>
    <w:rPr>
      <w:lang w:val="en-US" w:eastAsia="ja-JP"/>
    </w:rPr>
  </w:style>
  <w:style w:type="paragraph" w:styleId="Bibliography">
    <w:name w:val="Bibliography"/>
    <w:basedOn w:val="Normal"/>
    <w:next w:val="Normal"/>
    <w:uiPriority w:val="37"/>
    <w:unhideWhenUsed/>
    <w:rsid w:val="00773556"/>
  </w:style>
  <w:style w:type="table" w:styleId="TableGrid">
    <w:name w:val="Table Grid"/>
    <w:basedOn w:val="TableNormal"/>
    <w:uiPriority w:val="59"/>
    <w:rsid w:val="00773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735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7355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7355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773556"/>
    <w:pPr>
      <w:spacing w:after="0" w:line="240" w:lineRule="auto"/>
    </w:pPr>
  </w:style>
  <w:style w:type="character" w:styleId="FollowedHyperlink">
    <w:name w:val="FollowedHyperlink"/>
    <w:basedOn w:val="DefaultParagraphFont"/>
    <w:uiPriority w:val="99"/>
    <w:semiHidden/>
    <w:unhideWhenUsed/>
    <w:rsid w:val="00773556"/>
    <w:rPr>
      <w:color w:val="800080" w:themeColor="followedHyperlink"/>
      <w:u w:val="single"/>
    </w:rPr>
  </w:style>
  <w:style w:type="paragraph" w:customStyle="1" w:styleId="EESubheadingB">
    <w:name w:val="EE Subheading B"/>
    <w:basedOn w:val="Heading3"/>
    <w:next w:val="EEFirstParagraph"/>
    <w:rsid w:val="00773556"/>
    <w:pPr>
      <w:keepLines w:val="0"/>
      <w:spacing w:before="240" w:after="240" w:line="240" w:lineRule="exact"/>
    </w:pPr>
    <w:rPr>
      <w:rFonts w:ascii="Times" w:eastAsia="Times New Roman" w:hAnsi="Times" w:cs="Arial"/>
      <w:color w:val="auto"/>
      <w:sz w:val="20"/>
      <w:szCs w:val="26"/>
      <w:lang w:val="en-GB" w:eastAsia="en-US"/>
    </w:rPr>
  </w:style>
  <w:style w:type="paragraph" w:customStyle="1" w:styleId="EEFirstParagraph">
    <w:name w:val="EE FirstParagraph"/>
    <w:basedOn w:val="Normal"/>
    <w:next w:val="EEParagraph"/>
    <w:link w:val="EEFirstParagraphChar"/>
    <w:rsid w:val="00773556"/>
    <w:pPr>
      <w:spacing w:after="0" w:line="240" w:lineRule="exact"/>
      <w:jc w:val="both"/>
    </w:pPr>
    <w:rPr>
      <w:rFonts w:ascii="Times" w:eastAsia="Times New Roman" w:hAnsi="Times" w:cs="Times New Roman"/>
      <w:sz w:val="20"/>
      <w:szCs w:val="20"/>
      <w:lang w:val="en-GB" w:eastAsia="en-US"/>
    </w:rPr>
  </w:style>
  <w:style w:type="paragraph" w:customStyle="1" w:styleId="EEParagraph">
    <w:name w:val="EE Paragraph"/>
    <w:basedOn w:val="Normal"/>
    <w:rsid w:val="00773556"/>
    <w:pPr>
      <w:spacing w:after="0" w:line="240" w:lineRule="exact"/>
      <w:ind w:firstLine="240"/>
      <w:jc w:val="both"/>
    </w:pPr>
    <w:rPr>
      <w:rFonts w:ascii="Times" w:eastAsia="Times New Roman" w:hAnsi="Times" w:cs="Times New Roman"/>
      <w:sz w:val="20"/>
      <w:szCs w:val="20"/>
      <w:lang w:val="en-GB" w:eastAsia="en-US"/>
    </w:rPr>
  </w:style>
  <w:style w:type="paragraph" w:customStyle="1" w:styleId="EESubheadingA">
    <w:name w:val="EE Subheading A"/>
    <w:basedOn w:val="Heading2"/>
    <w:next w:val="EEFirstParagraph"/>
    <w:rsid w:val="00773556"/>
    <w:pPr>
      <w:keepLines w:val="0"/>
      <w:numPr>
        <w:ilvl w:val="1"/>
      </w:numPr>
      <w:tabs>
        <w:tab w:val="num" w:pos="482"/>
      </w:tabs>
      <w:spacing w:before="480" w:after="240" w:line="240" w:lineRule="auto"/>
      <w:ind w:left="482" w:hanging="482"/>
    </w:pPr>
    <w:rPr>
      <w:rFonts w:ascii="Times" w:eastAsia="Times New Roman" w:hAnsi="Times" w:cs="Arial"/>
      <w:b w:val="0"/>
      <w:iCs/>
      <w:caps/>
      <w:color w:val="auto"/>
      <w:sz w:val="24"/>
      <w:szCs w:val="24"/>
      <w:lang w:val="en-GB" w:eastAsia="en-US"/>
    </w:rPr>
  </w:style>
  <w:style w:type="paragraph" w:customStyle="1" w:styleId="MTDisplayEquation">
    <w:name w:val="MTDisplayEquation"/>
    <w:basedOn w:val="EEParagraph"/>
    <w:next w:val="EEFirstParagraph"/>
    <w:rsid w:val="00773556"/>
    <w:pPr>
      <w:tabs>
        <w:tab w:val="center" w:pos="3120"/>
        <w:tab w:val="right" w:pos="6240"/>
      </w:tabs>
      <w:spacing w:before="240" w:after="240" w:line="240" w:lineRule="auto"/>
    </w:pPr>
  </w:style>
  <w:style w:type="paragraph" w:customStyle="1" w:styleId="EEEquation">
    <w:name w:val="EE Equation"/>
    <w:basedOn w:val="MTDisplayEquation"/>
    <w:rsid w:val="00773556"/>
  </w:style>
  <w:style w:type="character" w:customStyle="1" w:styleId="EEFirstParagraphChar">
    <w:name w:val="EE FirstParagraph Char"/>
    <w:link w:val="EEFirstParagraph"/>
    <w:rsid w:val="00773556"/>
    <w:rPr>
      <w:rFonts w:ascii="Times" w:eastAsia="Times New Roman" w:hAnsi="Times" w:cs="Times New Roman"/>
      <w:sz w:val="20"/>
      <w:szCs w:val="20"/>
      <w:lang w:val="en-GB" w:eastAsia="en-US"/>
    </w:rPr>
  </w:style>
  <w:style w:type="character" w:customStyle="1" w:styleId="MTEquationSection">
    <w:name w:val="MTEquationSection"/>
    <w:rsid w:val="00773556"/>
    <w:rPr>
      <w:vanish/>
      <w:color w:val="FF0000"/>
    </w:rPr>
  </w:style>
  <w:style w:type="numbering" w:customStyle="1" w:styleId="NoList1">
    <w:name w:val="No List1"/>
    <w:next w:val="NoList"/>
    <w:uiPriority w:val="99"/>
    <w:semiHidden/>
    <w:unhideWhenUsed/>
    <w:rsid w:val="00773556"/>
  </w:style>
  <w:style w:type="paragraph" w:customStyle="1" w:styleId="xl70">
    <w:name w:val="xl70"/>
    <w:basedOn w:val="Normal"/>
    <w:rsid w:val="0077355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Normal"/>
    <w:rsid w:val="0077355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5">
    <w:name w:val="xl65"/>
    <w:basedOn w:val="Normal"/>
    <w:rsid w:val="0077355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Normal"/>
    <w:rsid w:val="00773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7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8">
    <w:name w:val="xl68"/>
    <w:basedOn w:val="Normal"/>
    <w:rsid w:val="0077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9">
    <w:name w:val="xl69"/>
    <w:basedOn w:val="Normal"/>
    <w:rsid w:val="0077355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2">
    <w:name w:val="xl72"/>
    <w:basedOn w:val="Normal"/>
    <w:rsid w:val="0077355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3">
    <w:name w:val="xl73"/>
    <w:basedOn w:val="Normal"/>
    <w:rsid w:val="0077355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4">
    <w:name w:val="xl74"/>
    <w:basedOn w:val="Normal"/>
    <w:rsid w:val="0077355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5">
    <w:name w:val="xl75"/>
    <w:basedOn w:val="Normal"/>
    <w:rsid w:val="0077355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Normal"/>
    <w:rsid w:val="0077355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7">
    <w:name w:val="xl77"/>
    <w:basedOn w:val="Normal"/>
    <w:rsid w:val="0077355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8">
    <w:name w:val="xl78"/>
    <w:basedOn w:val="Normal"/>
    <w:rsid w:val="0077355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5">
    <w:name w:val="font5"/>
    <w:basedOn w:val="Normal"/>
    <w:rsid w:val="00773556"/>
    <w:pPr>
      <w:spacing w:before="100" w:beforeAutospacing="1" w:after="100" w:afterAutospacing="1" w:line="240" w:lineRule="auto"/>
    </w:pPr>
    <w:rPr>
      <w:rFonts w:ascii="Times New Roman" w:eastAsia="Times New Roman" w:hAnsi="Times New Roman" w:cs="Times New Roma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ks.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s://www.frisch.uio.no/docs/LIBEMOD/reference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edstat.ru" TargetMode="External"/><Relationship Id="rId14" Type="http://schemas.openxmlformats.org/officeDocument/2006/relationships/hyperlink" Target="http://www.eegas.com/fsu.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ks.ru/wps/wcm/connect/rosstat_main/rosstat/ru/statistics/accounts/" TargetMode="External"/><Relationship Id="rId3" Type="http://schemas.openxmlformats.org/officeDocument/2006/relationships/hyperlink" Target="http://www.minenergo.ru" TargetMode="External"/><Relationship Id="rId7" Type="http://schemas.openxmlformats.org/officeDocument/2006/relationships/hyperlink" Target="http://www.gks.ru/bgd/regl/b11_06/IssWWW.exe/Stg/d04/17-01-1.htm" TargetMode="External"/><Relationship Id="rId2" Type="http://schemas.openxmlformats.org/officeDocument/2006/relationships/hyperlink" Target="http://www.fstrf.ru/tariffs/info_tarif/gas" TargetMode="External"/><Relationship Id="rId1" Type="http://schemas.openxmlformats.org/officeDocument/2006/relationships/hyperlink" Target="http://solex-un.ru/energo/reviews/avtomobilnyy-transport/obzor-1" TargetMode="External"/><Relationship Id="rId6" Type="http://schemas.openxmlformats.org/officeDocument/2006/relationships/hyperlink" Target="http://www.gks.ru/wps/wcm/connect/rosstat_main/rosstat/ru/statistics/accounts/" TargetMode="External"/><Relationship Id="rId11" Type="http://schemas.openxmlformats.org/officeDocument/2006/relationships/hyperlink" Target="http://www.eegas.com/fsu.htm" TargetMode="External"/><Relationship Id="rId5" Type="http://schemas.openxmlformats.org/officeDocument/2006/relationships/hyperlink" Target="http://www.gks.ru/wps/wcm/connect/rosstat_main/rosstat/ru/statistics/population/demography/" TargetMode="External"/><Relationship Id="rId10" Type="http://schemas.openxmlformats.org/officeDocument/2006/relationships/hyperlink" Target="http://www.sras.org/the_medvedev_economy" TargetMode="External"/><Relationship Id="rId4" Type="http://schemas.openxmlformats.org/officeDocument/2006/relationships/hyperlink" Target="http://www.gks.ru/wps/wcm/connect/rosstat_main/rosstat/ru/statistics/accounts/" TargetMode="External"/><Relationship Id="rId9" Type="http://schemas.openxmlformats.org/officeDocument/2006/relationships/hyperlink" Target="http://storage.globalcitizen.net/data/topic/knowledge/uploads/201110111615237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4918</Words>
  <Characters>26070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Kristine Hallre</dc:creator>
  <cp:lastModifiedBy>Hilde Kristine Hallre</cp:lastModifiedBy>
  <cp:revision>2</cp:revision>
  <dcterms:created xsi:type="dcterms:W3CDTF">2014-08-15T09:49:00Z</dcterms:created>
  <dcterms:modified xsi:type="dcterms:W3CDTF">2014-08-15T09:56:00Z</dcterms:modified>
</cp:coreProperties>
</file>